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49BB" w14:textId="77777777" w:rsidR="004D01E1" w:rsidRDefault="00CB6E26">
      <w:pPr>
        <w:tabs>
          <w:tab w:val="clear" w:pos="3068"/>
        </w:tabs>
        <w:spacing w:before="1200" w:after="360" w:line="240" w:lineRule="auto"/>
        <w:ind w:firstLine="0"/>
        <w:jc w:val="center"/>
      </w:pPr>
      <w:r>
        <w:rPr>
          <w:rFonts w:ascii="Times New Roman" w:hAnsi="Times New Roman" w:cs="Times New Roman"/>
          <w:b/>
          <w:color w:val="004C6D"/>
          <w:sz w:val="40"/>
          <w:szCs w:val="40"/>
          <w:shd w:val="clear" w:color="auto" w:fill="FFFF00"/>
        </w:rPr>
        <w:t>Paper Title</w:t>
      </w:r>
    </w:p>
    <w:p w14:paraId="79829553" w14:textId="77777777" w:rsidR="004D01E1" w:rsidRDefault="00CB6E26">
      <w:pPr>
        <w:tabs>
          <w:tab w:val="clear" w:pos="3068"/>
        </w:tabs>
        <w:spacing w:line="240" w:lineRule="auto"/>
        <w:ind w:firstLine="0"/>
        <w:jc w:val="center"/>
      </w:pPr>
      <w:r>
        <w:rPr>
          <w:rFonts w:ascii="Times New Roman" w:hAnsi="Times New Roman" w:cs="Times New Roman"/>
          <w:color w:val="auto"/>
          <w:sz w:val="20"/>
          <w:szCs w:val="20"/>
        </w:rPr>
        <w:t>Mahmood Al-Bahri</w:t>
      </w:r>
      <w:proofErr w:type="gramStart"/>
      <w:r>
        <w:rPr>
          <w:rFonts w:ascii="Times New Roman" w:hAnsi="Times New Roman" w:cs="Times New Roman"/>
          <w:color w:val="auto"/>
          <w:sz w:val="20"/>
          <w:szCs w:val="20"/>
          <w:vertAlign w:val="superscript"/>
        </w:rPr>
        <w:t>1,*</w:t>
      </w:r>
      <w:proofErr w:type="gramEnd"/>
      <w:r>
        <w:rPr>
          <w:rFonts w:ascii="Times New Roman" w:hAnsi="Times New Roman" w:cs="Times New Roman"/>
          <w:color w:val="auto"/>
          <w:sz w:val="20"/>
          <w:szCs w:val="20"/>
        </w:rPr>
        <w:t>, Jabar Yousuf</w:t>
      </w:r>
      <w:r>
        <w:rPr>
          <w:rFonts w:ascii="Times New Roman" w:hAnsi="Times New Roman" w:cs="Times New Roman"/>
          <w:color w:val="auto"/>
          <w:sz w:val="20"/>
          <w:szCs w:val="20"/>
          <w:vertAlign w:val="superscript"/>
        </w:rPr>
        <w:t>2</w:t>
      </w:r>
    </w:p>
    <w:p w14:paraId="21A77DE0" w14:textId="77777777" w:rsidR="004D01E1" w:rsidRDefault="00CB6E26">
      <w:pPr>
        <w:tabs>
          <w:tab w:val="clear" w:pos="3068"/>
        </w:tabs>
        <w:autoSpaceDE w:val="0"/>
        <w:spacing w:line="240" w:lineRule="auto"/>
        <w:ind w:firstLine="0"/>
        <w:jc w:val="center"/>
      </w:pPr>
      <w:r>
        <w:rPr>
          <w:rFonts w:ascii="Times New Roman" w:hAnsi="Times New Roman" w:cs="Times New Roman"/>
          <w:color w:val="auto"/>
          <w:sz w:val="20"/>
          <w:szCs w:val="20"/>
          <w:vertAlign w:val="superscript"/>
        </w:rPr>
        <w:t xml:space="preserve">1 </w:t>
      </w:r>
      <w:r>
        <w:rPr>
          <w:rFonts w:ascii="Times New Roman" w:hAnsi="Times New Roman" w:cs="Times New Roman"/>
          <w:color w:val="auto"/>
          <w:sz w:val="20"/>
          <w:szCs w:val="20"/>
        </w:rPr>
        <w:t xml:space="preserve">Faculty of Computing and IT, Sohar University, Oman, </w:t>
      </w:r>
      <w:hyperlink r:id="rId7" w:history="1">
        <w:r>
          <w:rPr>
            <w:rStyle w:val="Hyperlink"/>
            <w:rFonts w:ascii="Times New Roman" w:hAnsi="Times New Roman" w:cs="Times New Roman"/>
            <w:sz w:val="20"/>
            <w:szCs w:val="20"/>
          </w:rPr>
          <w:t>mbahri@su.edu</w:t>
        </w:r>
      </w:hyperlink>
      <w:r>
        <w:rPr>
          <w:rStyle w:val="Hyperlink"/>
          <w:rFonts w:ascii="Times New Roman" w:hAnsi="Times New Roman" w:cs="Times New Roman"/>
          <w:sz w:val="20"/>
          <w:szCs w:val="20"/>
        </w:rPr>
        <w:t>.om</w:t>
      </w:r>
      <w:r>
        <w:rPr>
          <w:rFonts w:ascii="Times New Roman" w:hAnsi="Times New Roman" w:cs="Times New Roman"/>
          <w:color w:val="auto"/>
          <w:sz w:val="20"/>
          <w:szCs w:val="20"/>
        </w:rPr>
        <w:t>.</w:t>
      </w:r>
    </w:p>
    <w:p w14:paraId="3194C36E" w14:textId="77777777" w:rsidR="004D01E1" w:rsidRDefault="004D01E1">
      <w:pPr>
        <w:tabs>
          <w:tab w:val="clear" w:pos="3068"/>
        </w:tabs>
        <w:spacing w:line="240" w:lineRule="auto"/>
        <w:jc w:val="center"/>
        <w:rPr>
          <w:rFonts w:ascii="Times New Roman" w:hAnsi="Times New Roman" w:cs="Times New Roman"/>
          <w:color w:val="auto"/>
          <w:sz w:val="20"/>
          <w:szCs w:val="20"/>
        </w:rPr>
      </w:pPr>
    </w:p>
    <w:p w14:paraId="331A309F" w14:textId="77777777" w:rsidR="004D01E1" w:rsidRDefault="00CB6E26">
      <w:pPr>
        <w:tabs>
          <w:tab w:val="clear" w:pos="3068"/>
        </w:tabs>
        <w:autoSpaceDE w:val="0"/>
        <w:spacing w:line="240" w:lineRule="auto"/>
        <w:ind w:firstLine="0"/>
        <w:jc w:val="center"/>
      </w:pPr>
      <w:r>
        <w:rPr>
          <w:rFonts w:ascii="Times New Roman" w:hAnsi="Times New Roman" w:cs="Times New Roman"/>
          <w:color w:val="auto"/>
          <w:sz w:val="20"/>
          <w:szCs w:val="20"/>
          <w:vertAlign w:val="superscript"/>
        </w:rPr>
        <w:t xml:space="preserve">2 </w:t>
      </w:r>
      <w:r>
        <w:rPr>
          <w:rFonts w:ascii="Times New Roman" w:hAnsi="Times New Roman" w:cs="Times New Roman"/>
          <w:color w:val="auto"/>
          <w:sz w:val="20"/>
          <w:szCs w:val="20"/>
        </w:rPr>
        <w:t xml:space="preserve">Faculty of Computing and IT, Sohar University. Oman, </w:t>
      </w:r>
      <w:hyperlink r:id="rId8" w:history="1">
        <w:r>
          <w:rPr>
            <w:rStyle w:val="Hyperlink"/>
            <w:rFonts w:ascii="Times New Roman" w:hAnsi="Times New Roman" w:cs="Times New Roman"/>
            <w:sz w:val="20"/>
            <w:szCs w:val="20"/>
          </w:rPr>
          <w:t>jyousuf@su.edu</w:t>
        </w:r>
      </w:hyperlink>
      <w:r>
        <w:rPr>
          <w:rStyle w:val="Hyperlink"/>
          <w:rFonts w:ascii="Times New Roman" w:hAnsi="Times New Roman" w:cs="Times New Roman"/>
          <w:sz w:val="20"/>
          <w:szCs w:val="20"/>
        </w:rPr>
        <w:t>.om</w:t>
      </w:r>
      <w:r>
        <w:rPr>
          <w:rFonts w:ascii="Times New Roman" w:hAnsi="Times New Roman" w:cs="Times New Roman"/>
          <w:color w:val="auto"/>
          <w:sz w:val="20"/>
          <w:szCs w:val="20"/>
        </w:rPr>
        <w:t>.</w:t>
      </w:r>
    </w:p>
    <w:p w14:paraId="0EC81F8D" w14:textId="77777777" w:rsidR="004D01E1" w:rsidRDefault="004D01E1">
      <w:pPr>
        <w:tabs>
          <w:tab w:val="clear" w:pos="3068"/>
        </w:tabs>
        <w:spacing w:line="240" w:lineRule="auto"/>
        <w:jc w:val="center"/>
        <w:rPr>
          <w:rFonts w:ascii="Times New Roman" w:hAnsi="Times New Roman" w:cs="Times New Roman"/>
          <w:color w:val="auto"/>
          <w:sz w:val="20"/>
          <w:szCs w:val="20"/>
        </w:rPr>
      </w:pPr>
    </w:p>
    <w:p w14:paraId="2E6F2B42" w14:textId="77777777" w:rsidR="004D01E1" w:rsidRDefault="004D01E1">
      <w:pPr>
        <w:tabs>
          <w:tab w:val="clear" w:pos="3068"/>
        </w:tabs>
        <w:spacing w:line="240" w:lineRule="auto"/>
        <w:rPr>
          <w:rFonts w:ascii="Times New Roman" w:hAnsi="Times New Roman" w:cs="Times New Roman"/>
          <w:color w:val="auto"/>
          <w:sz w:val="20"/>
          <w:szCs w:val="20"/>
        </w:rPr>
      </w:pPr>
    </w:p>
    <w:p w14:paraId="79DB3DF1" w14:textId="77777777" w:rsidR="004D01E1" w:rsidRDefault="00CB6E26">
      <w:pPr>
        <w:tabs>
          <w:tab w:val="clear" w:pos="3068"/>
        </w:tabs>
        <w:autoSpaceDE w:val="0"/>
        <w:spacing w:line="240" w:lineRule="auto"/>
        <w:ind w:firstLine="0"/>
        <w:jc w:val="center"/>
      </w:pPr>
      <w:r>
        <w:rPr>
          <w:rFonts w:ascii="AdvTT5843c571" w:hAnsi="AdvTT5843c571" w:cs="AdvTT5843c571"/>
          <w:color w:val="000000"/>
          <w:sz w:val="13"/>
          <w:szCs w:val="13"/>
          <w:shd w:val="clear" w:color="auto" w:fill="auto"/>
        </w:rPr>
        <w:t xml:space="preserve">* </w:t>
      </w:r>
      <w:r>
        <w:rPr>
          <w:rFonts w:ascii="Times New Roman" w:hAnsi="Times New Roman" w:cs="Times New Roman"/>
          <w:color w:val="auto"/>
          <w:sz w:val="20"/>
          <w:szCs w:val="20"/>
        </w:rPr>
        <w:t>Corresponding author: Mahmood Al-Bahri (</w:t>
      </w:r>
      <w:hyperlink r:id="rId9" w:history="1">
        <w:r>
          <w:rPr>
            <w:rStyle w:val="Hyperlink"/>
            <w:rFonts w:ascii="Times New Roman" w:hAnsi="Times New Roman" w:cs="Times New Roman"/>
            <w:sz w:val="20"/>
            <w:szCs w:val="20"/>
          </w:rPr>
          <w:t>mbahri@su.edu</w:t>
        </w:r>
      </w:hyperlink>
      <w:r>
        <w:rPr>
          <w:rStyle w:val="Hyperlink"/>
          <w:rFonts w:ascii="Times New Roman" w:hAnsi="Times New Roman" w:cs="Times New Roman"/>
          <w:sz w:val="20"/>
          <w:szCs w:val="20"/>
        </w:rPr>
        <w:t>.om)</w:t>
      </w:r>
      <w:r>
        <w:rPr>
          <w:rFonts w:ascii="Times New Roman" w:hAnsi="Times New Roman" w:cs="Times New Roman"/>
          <w:color w:val="auto"/>
          <w:sz w:val="20"/>
          <w:szCs w:val="20"/>
        </w:rPr>
        <w:t>.</w:t>
      </w:r>
    </w:p>
    <w:p w14:paraId="6AE444E1" w14:textId="77777777" w:rsidR="004D01E1" w:rsidRDefault="004D01E1">
      <w:pPr>
        <w:tabs>
          <w:tab w:val="clear" w:pos="3068"/>
        </w:tabs>
        <w:rPr>
          <w:rFonts w:ascii="Times New Roman" w:hAnsi="Times New Roman" w:cs="Times New Roman"/>
          <w:color w:val="auto"/>
          <w:sz w:val="22"/>
          <w:szCs w:val="22"/>
        </w:rPr>
      </w:pPr>
    </w:p>
    <w:p w14:paraId="52334F2B" w14:textId="77777777" w:rsidR="004D01E1" w:rsidRDefault="00CB6E26">
      <w:pPr>
        <w:tabs>
          <w:tab w:val="clear" w:pos="3068"/>
        </w:tabs>
        <w:ind w:firstLine="0"/>
      </w:pPr>
      <w:r>
        <w:rPr>
          <w:rFonts w:ascii="Times New Roman" w:hAnsi="Times New Roman" w:cs="Times New Roman"/>
          <w:b/>
          <w:color w:val="auto"/>
          <w:sz w:val="24"/>
          <w:szCs w:val="24"/>
        </w:rPr>
        <w:t>Abstract (Maximum 300 words)</w:t>
      </w:r>
    </w:p>
    <w:p w14:paraId="1570FFF6" w14:textId="77777777" w:rsidR="004D01E1" w:rsidRDefault="00CB6E26">
      <w:pPr>
        <w:tabs>
          <w:tab w:val="clear" w:pos="3068"/>
        </w:tabs>
        <w:spacing w:line="240" w:lineRule="auto"/>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When institutions administer student evaluations of teaching </w:t>
      </w:r>
      <w:r>
        <w:rPr>
          <w:rFonts w:ascii="Times New Roman" w:hAnsi="Times New Roman" w:cs="Times New Roman"/>
          <w:color w:val="auto"/>
          <w:sz w:val="20"/>
          <w:szCs w:val="20"/>
        </w:rPr>
        <w:t>(SETs) online, response rates are lower relative to paper-based administration. We analyzed average SET scores from 364 courses taught during the fall term in 3 consecutive years to determine whether administering SET forms online for all courses in the 3r</w:t>
      </w:r>
      <w:r>
        <w:rPr>
          <w:rFonts w:ascii="Times New Roman" w:hAnsi="Times New Roman" w:cs="Times New Roman"/>
          <w:color w:val="auto"/>
          <w:sz w:val="20"/>
          <w:szCs w:val="20"/>
        </w:rPr>
        <w:t>d year changed the response rate or the average SET score. To control for instructor characteristics, we based the data analysis on courses for which the same instructor taught the course in each of three successive fall terms. Response rates for face-to-f</w:t>
      </w:r>
      <w:r>
        <w:rPr>
          <w:rFonts w:ascii="Times New Roman" w:hAnsi="Times New Roman" w:cs="Times New Roman"/>
          <w:color w:val="auto"/>
          <w:sz w:val="20"/>
          <w:szCs w:val="20"/>
        </w:rPr>
        <w:t>ace classes declined when SET administration occurred only online. Although average SET scores were reliably lower in Year 3 than in the previous 2 years, the magnitude of this change was minimal (0.11 on a five-item Likert-like scale). We discuss practica</w:t>
      </w:r>
      <w:r>
        <w:rPr>
          <w:rFonts w:ascii="Times New Roman" w:hAnsi="Times New Roman" w:cs="Times New Roman"/>
          <w:color w:val="auto"/>
          <w:sz w:val="20"/>
          <w:szCs w:val="20"/>
        </w:rPr>
        <w:t>l implications of these findings for interpretation of SETs and the role of SETs in the evaluation of teaching quality.</w:t>
      </w:r>
    </w:p>
    <w:p w14:paraId="2B1843F4" w14:textId="77777777" w:rsidR="004D01E1" w:rsidRDefault="004D01E1">
      <w:pPr>
        <w:tabs>
          <w:tab w:val="clear" w:pos="3068"/>
        </w:tabs>
        <w:ind w:firstLine="0"/>
        <w:rPr>
          <w:rFonts w:ascii="Times New Roman" w:hAnsi="Times New Roman" w:cs="Times New Roman"/>
          <w:b/>
          <w:bCs/>
          <w:i/>
          <w:color w:val="auto"/>
          <w:sz w:val="20"/>
          <w:szCs w:val="20"/>
        </w:rPr>
      </w:pPr>
    </w:p>
    <w:p w14:paraId="5CF3BB56" w14:textId="77777777" w:rsidR="004D01E1" w:rsidRDefault="00CB6E26">
      <w:pPr>
        <w:tabs>
          <w:tab w:val="clear" w:pos="3068"/>
        </w:tabs>
        <w:ind w:firstLine="0"/>
      </w:pPr>
      <w:r>
        <w:rPr>
          <w:rFonts w:ascii="Times New Roman" w:hAnsi="Times New Roman" w:cs="Times New Roman"/>
          <w:b/>
          <w:bCs/>
          <w:i/>
          <w:color w:val="auto"/>
          <w:sz w:val="20"/>
          <w:szCs w:val="20"/>
        </w:rPr>
        <w:t>Keywords</w:t>
      </w:r>
      <w:r>
        <w:rPr>
          <w:rFonts w:ascii="Times New Roman" w:hAnsi="Times New Roman" w:cs="Times New Roman"/>
          <w:i/>
          <w:color w:val="auto"/>
          <w:sz w:val="20"/>
          <w:szCs w:val="20"/>
        </w:rPr>
        <w:t>:</w:t>
      </w:r>
      <w:r>
        <w:rPr>
          <w:rFonts w:ascii="Times New Roman" w:hAnsi="Times New Roman" w:cs="Times New Roman"/>
          <w:color w:val="auto"/>
          <w:sz w:val="20"/>
          <w:szCs w:val="20"/>
        </w:rPr>
        <w:t xml:space="preserve"> college teaching; student evaluations of teaching; online administration; response rate; assessment</w:t>
      </w:r>
    </w:p>
    <w:p w14:paraId="0D66A7F7" w14:textId="77777777" w:rsidR="004D01E1" w:rsidRDefault="00CB6E26">
      <w:pPr>
        <w:pStyle w:val="ListParagraph"/>
        <w:numPr>
          <w:ilvl w:val="0"/>
          <w:numId w:val="1"/>
        </w:numPr>
        <w:tabs>
          <w:tab w:val="clear" w:pos="3068"/>
        </w:tabs>
        <w:spacing w:before="240" w:after="120" w:line="240" w:lineRule="auto"/>
        <w:ind w:left="274" w:hanging="274"/>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14:paraId="36465A6A" w14:textId="77777777" w:rsidR="004D01E1" w:rsidRDefault="00CB6E26">
      <w:pPr>
        <w:tabs>
          <w:tab w:val="clear" w:pos="3068"/>
        </w:tabs>
        <w:spacing w:line="240" w:lineRule="auto"/>
        <w:ind w:firstLine="288"/>
        <w:jc w:val="both"/>
        <w:rPr>
          <w:rFonts w:ascii="Times New Roman" w:hAnsi="Times New Roman" w:cs="Times New Roman"/>
          <w:color w:val="auto"/>
          <w:sz w:val="20"/>
          <w:szCs w:val="20"/>
        </w:rPr>
      </w:pPr>
      <w:r>
        <w:rPr>
          <w:rFonts w:ascii="Times New Roman" w:hAnsi="Times New Roman" w:cs="Times New Roman"/>
          <w:color w:val="auto"/>
          <w:sz w:val="20"/>
          <w:szCs w:val="20"/>
        </w:rPr>
        <w:t>Student rati</w:t>
      </w:r>
      <w:r>
        <w:rPr>
          <w:rFonts w:ascii="Times New Roman" w:hAnsi="Times New Roman" w:cs="Times New Roman"/>
          <w:color w:val="auto"/>
          <w:sz w:val="20"/>
          <w:szCs w:val="20"/>
        </w:rPr>
        <w:t>ngs and evaluations of instruction have a long history as sources of information about teaching quality (Berk, 2013). Student evaluations of teaching (SETs) often play a significant role in high-stakes decisions about hiring, promotion, tenure, and teachin</w:t>
      </w:r>
      <w:r>
        <w:rPr>
          <w:rFonts w:ascii="Times New Roman" w:hAnsi="Times New Roman" w:cs="Times New Roman"/>
          <w:color w:val="auto"/>
          <w:sz w:val="20"/>
          <w:szCs w:val="20"/>
        </w:rPr>
        <w:t xml:space="preserve">g awards. As a result, researchers have examined the psychometric properties of SETs and the possible impact of variables such as race, gender, age, course difficulty, and grading practices on average student ratings (Griffin et al., 2014; </w:t>
      </w:r>
      <w:proofErr w:type="spellStart"/>
      <w:r>
        <w:rPr>
          <w:rFonts w:ascii="Times New Roman" w:hAnsi="Times New Roman" w:cs="Times New Roman"/>
          <w:color w:val="auto"/>
          <w:sz w:val="20"/>
          <w:szCs w:val="20"/>
        </w:rPr>
        <w:t>Nulty</w:t>
      </w:r>
      <w:proofErr w:type="spellEnd"/>
      <w:r>
        <w:rPr>
          <w:rFonts w:ascii="Times New Roman" w:hAnsi="Times New Roman" w:cs="Times New Roman"/>
          <w:color w:val="auto"/>
          <w:sz w:val="20"/>
          <w:szCs w:val="20"/>
        </w:rPr>
        <w:t xml:space="preserve">, 2008; </w:t>
      </w:r>
      <w:proofErr w:type="spellStart"/>
      <w:r>
        <w:rPr>
          <w:rFonts w:ascii="Times New Roman" w:hAnsi="Times New Roman" w:cs="Times New Roman"/>
          <w:color w:val="auto"/>
          <w:sz w:val="20"/>
          <w:szCs w:val="20"/>
        </w:rPr>
        <w:t>Spo</w:t>
      </w:r>
      <w:r>
        <w:rPr>
          <w:rFonts w:ascii="Times New Roman" w:hAnsi="Times New Roman" w:cs="Times New Roman"/>
          <w:color w:val="auto"/>
          <w:sz w:val="20"/>
          <w:szCs w:val="20"/>
        </w:rPr>
        <w:t>oren</w:t>
      </w:r>
      <w:proofErr w:type="spellEnd"/>
      <w:r>
        <w:rPr>
          <w:rFonts w:ascii="Times New Roman" w:hAnsi="Times New Roman" w:cs="Times New Roman"/>
          <w:color w:val="auto"/>
          <w:sz w:val="20"/>
          <w:szCs w:val="20"/>
        </w:rPr>
        <w:t xml:space="preserve"> et al., 2013). They have also examined how decision makers evaluate SET scores (Boysen, 2015a, 2015b; Boysen et al., 2014; Dewar, 2011). In the last 20 years, considerable attention has been directed toward the consequences of administering SETs onlin</w:t>
      </w:r>
      <w:r>
        <w:rPr>
          <w:rFonts w:ascii="Times New Roman" w:hAnsi="Times New Roman" w:cs="Times New Roman"/>
          <w:color w:val="auto"/>
          <w:sz w:val="20"/>
          <w:szCs w:val="20"/>
        </w:rPr>
        <w:t>e (Morrison, 2011; Stowell et al., 2012) because low response rates may have implications for how decision makers should interpret SETs.</w:t>
      </w:r>
    </w:p>
    <w:p w14:paraId="44076A60" w14:textId="77777777" w:rsidR="004D01E1" w:rsidRDefault="00CB6E26">
      <w:pPr>
        <w:pStyle w:val="ListParagraph"/>
        <w:numPr>
          <w:ilvl w:val="0"/>
          <w:numId w:val="1"/>
        </w:numPr>
        <w:tabs>
          <w:tab w:val="clear" w:pos="3068"/>
        </w:tabs>
        <w:spacing w:before="240" w:after="120" w:line="240" w:lineRule="auto"/>
        <w:ind w:left="274" w:hanging="274"/>
      </w:pPr>
      <w:r>
        <w:rPr>
          <w:rFonts w:ascii="Times New Roman" w:hAnsi="Times New Roman" w:cs="Times New Roman"/>
          <w:b/>
          <w:color w:val="auto"/>
          <w:sz w:val="24"/>
          <w:szCs w:val="24"/>
        </w:rPr>
        <w:t xml:space="preserve">Materials &amp; Methods </w:t>
      </w:r>
      <w:proofErr w:type="gramStart"/>
      <w:r>
        <w:rPr>
          <w:rFonts w:ascii="Times New Roman" w:hAnsi="Times New Roman" w:cs="Times New Roman"/>
          <w:b/>
          <w:color w:val="auto"/>
          <w:sz w:val="24"/>
          <w:szCs w:val="24"/>
        </w:rPr>
        <w:t>( can</w:t>
      </w:r>
      <w:proofErr w:type="gramEnd"/>
      <w:r>
        <w:rPr>
          <w:rFonts w:ascii="Times New Roman" w:hAnsi="Times New Roman" w:cs="Times New Roman"/>
          <w:b/>
          <w:color w:val="auto"/>
          <w:sz w:val="24"/>
          <w:szCs w:val="24"/>
        </w:rPr>
        <w:t xml:space="preserve"> be revised based on the scope of study, For </w:t>
      </w:r>
      <w:proofErr w:type="spellStart"/>
      <w:r>
        <w:rPr>
          <w:rFonts w:ascii="Times New Roman" w:hAnsi="Times New Roman" w:cs="Times New Roman"/>
          <w:b/>
          <w:color w:val="auto"/>
          <w:sz w:val="24"/>
          <w:szCs w:val="24"/>
        </w:rPr>
        <w:t>eg</w:t>
      </w:r>
      <w:proofErr w:type="spellEnd"/>
      <w:r>
        <w:rPr>
          <w:rFonts w:ascii="Times New Roman" w:hAnsi="Times New Roman" w:cs="Times New Roman"/>
          <w:b/>
          <w:color w:val="auto"/>
          <w:sz w:val="24"/>
          <w:szCs w:val="24"/>
        </w:rPr>
        <w:t xml:space="preserve">: Experimental design) </w:t>
      </w:r>
    </w:p>
    <w:p w14:paraId="6B88C4DB" w14:textId="77777777" w:rsidR="004D01E1" w:rsidRDefault="00CB6E26">
      <w:pPr>
        <w:tabs>
          <w:tab w:val="clear" w:pos="3068"/>
        </w:tabs>
        <w:spacing w:line="240" w:lineRule="auto"/>
        <w:ind w:firstLine="288"/>
        <w:jc w:val="both"/>
        <w:rPr>
          <w:rFonts w:ascii="Times New Roman" w:hAnsi="Times New Roman" w:cs="Times New Roman"/>
          <w:color w:val="auto"/>
          <w:sz w:val="20"/>
          <w:szCs w:val="20"/>
        </w:rPr>
      </w:pPr>
      <w:r>
        <w:rPr>
          <w:rFonts w:ascii="Times New Roman" w:hAnsi="Times New Roman" w:cs="Times New Roman"/>
          <w:color w:val="auto"/>
          <w:sz w:val="20"/>
          <w:szCs w:val="20"/>
        </w:rPr>
        <w:t>In the present study we</w:t>
      </w:r>
      <w:r>
        <w:rPr>
          <w:rFonts w:ascii="Times New Roman" w:hAnsi="Times New Roman" w:cs="Times New Roman"/>
          <w:color w:val="auto"/>
          <w:sz w:val="20"/>
          <w:szCs w:val="20"/>
        </w:rPr>
        <w:t xml:space="preserve"> examined patterns of responses for online and paper-based SET scores at a midsized, regional, comprehensive university in the United States. We posed two questions: First, does the response rate or the </w:t>
      </w:r>
      <w:r>
        <w:rPr>
          <w:rFonts w:ascii="Times New Roman" w:hAnsi="Times New Roman" w:cs="Times New Roman"/>
          <w:color w:val="auto"/>
          <w:sz w:val="20"/>
          <w:szCs w:val="20"/>
        </w:rPr>
        <w:lastRenderedPageBreak/>
        <w:t>average SET score change when an institution administ</w:t>
      </w:r>
      <w:r>
        <w:rPr>
          <w:rFonts w:ascii="Times New Roman" w:hAnsi="Times New Roman" w:cs="Times New Roman"/>
          <w:color w:val="auto"/>
          <w:sz w:val="20"/>
          <w:szCs w:val="20"/>
        </w:rPr>
        <w:t>ers SET forms online instead of on paper? Second, what is the minimal response rate required to produce stable average SET scores for an instructor? Whereas much earlier research relied on small samples often limited to a single academic department, we gat</w:t>
      </w:r>
      <w:r>
        <w:rPr>
          <w:rFonts w:ascii="Times New Roman" w:hAnsi="Times New Roman" w:cs="Times New Roman"/>
          <w:color w:val="auto"/>
          <w:sz w:val="20"/>
          <w:szCs w:val="20"/>
        </w:rPr>
        <w:t>hered SET data on a large sample of courses (N = 364) that included instructors from all colleges and all course levels over 3 years. We controlled for individual differences in instructors by limiting the sample to courses taught by the same instructor in</w:t>
      </w:r>
      <w:r>
        <w:rPr>
          <w:rFonts w:ascii="Times New Roman" w:hAnsi="Times New Roman" w:cs="Times New Roman"/>
          <w:color w:val="auto"/>
          <w:sz w:val="20"/>
          <w:szCs w:val="20"/>
        </w:rPr>
        <w:t xml:space="preserve"> all 3 years. The university offers nearly 30% of course sections online in any given term, and these courses have always administered online SETs. This allowed us to examine the combined effects of changing the method of delivery for SETs (paper-based to </w:t>
      </w:r>
      <w:r>
        <w:rPr>
          <w:rFonts w:ascii="Times New Roman" w:hAnsi="Times New Roman" w:cs="Times New Roman"/>
          <w:color w:val="auto"/>
          <w:sz w:val="20"/>
          <w:szCs w:val="20"/>
        </w:rPr>
        <w:t>online) for traditional classes and changing from a mixed method of administering SETs (paper for traditional classes and online for online classes in the first 2 years of data gathered) to uniform use of online forms for all classes in the final year of d</w:t>
      </w:r>
      <w:r>
        <w:rPr>
          <w:rFonts w:ascii="Times New Roman" w:hAnsi="Times New Roman" w:cs="Times New Roman"/>
          <w:color w:val="auto"/>
          <w:sz w:val="20"/>
          <w:szCs w:val="20"/>
        </w:rPr>
        <w:t>ata collection.</w:t>
      </w:r>
    </w:p>
    <w:p w14:paraId="78F4F98B" w14:textId="77777777" w:rsidR="004D01E1" w:rsidRDefault="00CB6E26">
      <w:pPr>
        <w:pStyle w:val="ListParagraph"/>
        <w:numPr>
          <w:ilvl w:val="0"/>
          <w:numId w:val="1"/>
        </w:numPr>
        <w:tabs>
          <w:tab w:val="clear" w:pos="3068"/>
        </w:tabs>
        <w:spacing w:before="240" w:after="120" w:line="240" w:lineRule="auto"/>
        <w:ind w:left="274" w:hanging="274"/>
        <w:rPr>
          <w:rFonts w:ascii="Times New Roman" w:hAnsi="Times New Roman" w:cs="Times New Roman"/>
          <w:b/>
          <w:color w:val="auto"/>
          <w:sz w:val="24"/>
          <w:szCs w:val="24"/>
        </w:rPr>
      </w:pPr>
      <w:r>
        <w:rPr>
          <w:rFonts w:ascii="Times New Roman" w:hAnsi="Times New Roman" w:cs="Times New Roman"/>
          <w:b/>
          <w:color w:val="auto"/>
          <w:sz w:val="24"/>
          <w:szCs w:val="24"/>
        </w:rPr>
        <w:t>Results and Discussion</w:t>
      </w:r>
    </w:p>
    <w:p w14:paraId="69165097" w14:textId="77777777" w:rsidR="004D01E1" w:rsidRDefault="00CB6E26">
      <w:pPr>
        <w:pStyle w:val="ListParagraph"/>
        <w:numPr>
          <w:ilvl w:val="1"/>
          <w:numId w:val="1"/>
        </w:numPr>
        <w:tabs>
          <w:tab w:val="clear" w:pos="3068"/>
        </w:tabs>
        <w:ind w:left="450" w:hanging="450"/>
        <w:rPr>
          <w:rFonts w:ascii="Times New Roman" w:hAnsi="Times New Roman" w:cs="Times New Roman"/>
          <w:bCs/>
          <w:color w:val="auto"/>
          <w:sz w:val="22"/>
          <w:szCs w:val="22"/>
        </w:rPr>
      </w:pPr>
      <w:r>
        <w:rPr>
          <w:rFonts w:ascii="Times New Roman" w:hAnsi="Times New Roman" w:cs="Times New Roman"/>
          <w:bCs/>
          <w:color w:val="auto"/>
          <w:sz w:val="22"/>
          <w:szCs w:val="22"/>
        </w:rPr>
        <w:t>Response Rates</w:t>
      </w:r>
    </w:p>
    <w:p w14:paraId="181E9DE1" w14:textId="77777777" w:rsidR="004D01E1" w:rsidRDefault="00CB6E26">
      <w:pPr>
        <w:tabs>
          <w:tab w:val="left" w:pos="274"/>
        </w:tabs>
        <w:spacing w:line="240" w:lineRule="auto"/>
        <w:ind w:firstLine="0"/>
        <w:jc w:val="both"/>
      </w:pPr>
      <w:r>
        <w:rPr>
          <w:rFonts w:ascii="Times New Roman" w:hAnsi="Times New Roman" w:cs="Times New Roman"/>
          <w:color w:val="auto"/>
          <w:sz w:val="20"/>
          <w:szCs w:val="20"/>
        </w:rPr>
        <w:tab/>
        <w:t xml:space="preserve">Response rates are presented in </w:t>
      </w:r>
      <w:r>
        <w:t>Table 1</w:t>
      </w:r>
      <w:r>
        <w:rPr>
          <w:rFonts w:ascii="Times New Roman" w:hAnsi="Times New Roman" w:cs="Times New Roman"/>
          <w:color w:val="auto"/>
          <w:sz w:val="20"/>
          <w:szCs w:val="20"/>
        </w:rPr>
        <w:t xml:space="preserve">. The findings indicate that response rates for face-to-face courses were much higher than for online courses, but only when face-to-face course </w:t>
      </w:r>
      <w:r>
        <w:rPr>
          <w:rFonts w:ascii="Times New Roman" w:hAnsi="Times New Roman" w:cs="Times New Roman"/>
          <w:color w:val="auto"/>
          <w:sz w:val="20"/>
          <w:szCs w:val="20"/>
        </w:rPr>
        <w:t>evaluations were administered in the classroom. In the Year 3 administration, when all course evaluations were administered online, response rates for face-to-face courses declined (</w:t>
      </w:r>
      <w:r>
        <w:rPr>
          <w:rFonts w:ascii="Times New Roman" w:hAnsi="Times New Roman" w:cs="Times New Roman"/>
          <w:i/>
          <w:iCs/>
          <w:color w:val="auto"/>
          <w:sz w:val="20"/>
          <w:szCs w:val="20"/>
        </w:rPr>
        <w:t>M</w:t>
      </w:r>
      <w:r>
        <w:rPr>
          <w:rFonts w:ascii="Times New Roman" w:hAnsi="Times New Roman" w:cs="Times New Roman"/>
          <w:color w:val="auto"/>
          <w:sz w:val="20"/>
          <w:szCs w:val="20"/>
        </w:rPr>
        <w:t xml:space="preserve"> = 47.18%, </w:t>
      </w:r>
      <w:r>
        <w:rPr>
          <w:rFonts w:ascii="Times New Roman" w:hAnsi="Times New Roman" w:cs="Times New Roman"/>
          <w:i/>
          <w:iCs/>
          <w:color w:val="auto"/>
          <w:sz w:val="20"/>
          <w:szCs w:val="20"/>
        </w:rPr>
        <w:t>SD</w:t>
      </w:r>
      <w:r>
        <w:rPr>
          <w:rFonts w:ascii="Times New Roman" w:hAnsi="Times New Roman" w:cs="Times New Roman"/>
          <w:color w:val="auto"/>
          <w:sz w:val="20"/>
          <w:szCs w:val="20"/>
        </w:rPr>
        <w:t> = 20.11), but were still slightly higher than for online co</w:t>
      </w:r>
      <w:r>
        <w:rPr>
          <w:rFonts w:ascii="Times New Roman" w:hAnsi="Times New Roman" w:cs="Times New Roman"/>
          <w:color w:val="auto"/>
          <w:sz w:val="20"/>
          <w:szCs w:val="20"/>
        </w:rPr>
        <w:t>urses (</w:t>
      </w:r>
      <w:r>
        <w:rPr>
          <w:rFonts w:ascii="Times New Roman" w:hAnsi="Times New Roman" w:cs="Times New Roman"/>
          <w:i/>
          <w:iCs/>
          <w:color w:val="auto"/>
          <w:sz w:val="20"/>
          <w:szCs w:val="20"/>
        </w:rPr>
        <w:t>M</w:t>
      </w:r>
      <w:r>
        <w:rPr>
          <w:rFonts w:ascii="Times New Roman" w:hAnsi="Times New Roman" w:cs="Times New Roman"/>
          <w:color w:val="auto"/>
          <w:sz w:val="20"/>
          <w:szCs w:val="20"/>
        </w:rPr>
        <w:t xml:space="preserve"> = 41.60%, </w:t>
      </w:r>
      <w:r>
        <w:rPr>
          <w:rFonts w:ascii="Times New Roman" w:hAnsi="Times New Roman" w:cs="Times New Roman"/>
          <w:i/>
          <w:iCs/>
          <w:color w:val="auto"/>
          <w:sz w:val="20"/>
          <w:szCs w:val="20"/>
        </w:rPr>
        <w:t>SD</w:t>
      </w:r>
      <w:r>
        <w:rPr>
          <w:rFonts w:ascii="Times New Roman" w:hAnsi="Times New Roman" w:cs="Times New Roman"/>
          <w:color w:val="auto"/>
          <w:sz w:val="20"/>
          <w:szCs w:val="20"/>
        </w:rPr>
        <w:t xml:space="preserve"> = 18.23). These findings produced a statistically significant interaction between course delivery method and evaluation year, </w:t>
      </w:r>
      <w:proofErr w:type="gramStart"/>
      <w:r>
        <w:rPr>
          <w:rFonts w:ascii="Times New Roman" w:hAnsi="Times New Roman" w:cs="Times New Roman"/>
          <w:i/>
          <w:iCs/>
          <w:color w:val="auto"/>
          <w:sz w:val="20"/>
          <w:szCs w:val="20"/>
        </w:rPr>
        <w:t>F</w:t>
      </w:r>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1.78, 716) = 101.34, </w:t>
      </w:r>
      <w:r>
        <w:rPr>
          <w:rFonts w:ascii="Times New Roman" w:hAnsi="Times New Roman" w:cs="Times New Roman"/>
          <w:i/>
          <w:color w:val="auto"/>
          <w:sz w:val="20"/>
          <w:szCs w:val="20"/>
        </w:rPr>
        <w:t>MSE</w:t>
      </w:r>
      <w:r>
        <w:rPr>
          <w:rFonts w:ascii="Times New Roman" w:hAnsi="Times New Roman" w:cs="Times New Roman"/>
          <w:color w:val="auto"/>
          <w:sz w:val="20"/>
          <w:szCs w:val="20"/>
        </w:rPr>
        <w:t xml:space="preserve"> = 210.61, </w:t>
      </w:r>
      <w:r>
        <w:rPr>
          <w:rFonts w:ascii="Times New Roman" w:hAnsi="Times New Roman" w:cs="Times New Roman"/>
          <w:i/>
          <w:iCs/>
          <w:color w:val="auto"/>
          <w:sz w:val="20"/>
          <w:szCs w:val="20"/>
        </w:rPr>
        <w:t>p</w:t>
      </w:r>
      <w:r>
        <w:rPr>
          <w:rFonts w:ascii="Times New Roman" w:hAnsi="Times New Roman" w:cs="Times New Roman"/>
          <w:color w:val="auto"/>
          <w:sz w:val="20"/>
          <w:szCs w:val="20"/>
        </w:rPr>
        <w:t> &lt; .001.</w:t>
      </w:r>
      <w:r>
        <w:rPr>
          <w:rStyle w:val="FootnoteReference"/>
          <w:rFonts w:ascii="Times New Roman" w:hAnsi="Times New Roman" w:cs="Times New Roman"/>
          <w:color w:val="auto"/>
          <w:sz w:val="20"/>
          <w:szCs w:val="20"/>
        </w:rPr>
        <w:footnoteReference w:id="1"/>
      </w:r>
      <w:r>
        <w:rPr>
          <w:rFonts w:ascii="Times New Roman" w:hAnsi="Times New Roman" w:cs="Times New Roman"/>
          <w:color w:val="auto"/>
          <w:sz w:val="20"/>
          <w:szCs w:val="20"/>
        </w:rPr>
        <w:t> The strength of the overall interaction effect was .22 (η</w:t>
      </w:r>
      <w:r>
        <w:rPr>
          <w:rFonts w:ascii="Times New Roman" w:hAnsi="Times New Roman" w:cs="Times New Roman"/>
          <w:color w:val="auto"/>
          <w:sz w:val="20"/>
          <w:szCs w:val="20"/>
          <w:vertAlign w:val="subscript"/>
        </w:rPr>
        <w:t>p</w:t>
      </w:r>
      <w:r>
        <w:rPr>
          <w:rFonts w:ascii="Times New Roman" w:hAnsi="Times New Roman" w:cs="Times New Roman"/>
          <w:color w:val="auto"/>
          <w:sz w:val="20"/>
          <w:szCs w:val="20"/>
          <w:vertAlign w:val="superscript"/>
        </w:rPr>
        <w:t>2</w:t>
      </w:r>
      <w:r>
        <w:rPr>
          <w:rFonts w:ascii="Times New Roman" w:hAnsi="Times New Roman" w:cs="Times New Roman"/>
          <w:color w:val="auto"/>
          <w:sz w:val="20"/>
          <w:szCs w:val="20"/>
        </w:rPr>
        <w:t>). Simple main-effects tests revealed statistically significant differences in the response rates for face-to-face courses and o</w:t>
      </w:r>
      <w:r>
        <w:rPr>
          <w:rFonts w:ascii="Times New Roman" w:hAnsi="Times New Roman" w:cs="Times New Roman"/>
          <w:color w:val="auto"/>
          <w:sz w:val="20"/>
          <w:szCs w:val="20"/>
        </w:rPr>
        <w:t>nline courses for each of the 3 observation years.</w:t>
      </w:r>
      <w:r>
        <w:rPr>
          <w:rStyle w:val="FootnoteReference"/>
          <w:rFonts w:ascii="Times New Roman" w:hAnsi="Times New Roman" w:cs="Times New Roman"/>
          <w:color w:val="auto"/>
          <w:sz w:val="20"/>
          <w:szCs w:val="20"/>
        </w:rPr>
        <w:footnoteReference w:id="2"/>
      </w:r>
      <w:r>
        <w:rPr>
          <w:rFonts w:ascii="Times New Roman" w:hAnsi="Times New Roman" w:cs="Times New Roman"/>
          <w:color w:val="auto"/>
          <w:sz w:val="20"/>
          <w:szCs w:val="20"/>
        </w:rPr>
        <w:t xml:space="preserve"> The greatest </w:t>
      </w:r>
      <w:r>
        <w:rPr>
          <w:rFonts w:ascii="Times New Roman" w:hAnsi="Times New Roman" w:cs="Times New Roman"/>
          <w:color w:val="auto"/>
          <w:sz w:val="20"/>
          <w:szCs w:val="20"/>
        </w:rPr>
        <w:t>differences occurred during Year 1 (</w:t>
      </w:r>
      <w:r>
        <w:rPr>
          <w:rFonts w:ascii="Times New Roman" w:hAnsi="Times New Roman" w:cs="Times New Roman"/>
          <w:i/>
          <w:iCs/>
          <w:color w:val="auto"/>
          <w:sz w:val="20"/>
          <w:szCs w:val="20"/>
        </w:rPr>
        <w:t>p</w:t>
      </w:r>
      <w:r>
        <w:rPr>
          <w:rFonts w:ascii="Times New Roman" w:hAnsi="Times New Roman" w:cs="Times New Roman"/>
          <w:color w:val="auto"/>
          <w:sz w:val="20"/>
          <w:szCs w:val="20"/>
        </w:rPr>
        <w:t> &lt; .001) and Year 2 (</w:t>
      </w:r>
      <w:r>
        <w:rPr>
          <w:rFonts w:ascii="Times New Roman" w:hAnsi="Times New Roman" w:cs="Times New Roman"/>
          <w:i/>
          <w:iCs/>
          <w:color w:val="auto"/>
          <w:sz w:val="20"/>
          <w:szCs w:val="20"/>
        </w:rPr>
        <w:t>p</w:t>
      </w:r>
      <w:r>
        <w:rPr>
          <w:rFonts w:ascii="Times New Roman" w:hAnsi="Times New Roman" w:cs="Times New Roman"/>
          <w:color w:val="auto"/>
          <w:sz w:val="20"/>
          <w:szCs w:val="20"/>
        </w:rPr>
        <w:t xml:space="preserve"> &lt; .001), when evaluations were administered on paper in the classroom for all face-to-face courses and online for all online courses. Although the difference in response rate between face-to-face </w:t>
      </w:r>
      <w:r>
        <w:rPr>
          <w:rFonts w:ascii="Times New Roman" w:hAnsi="Times New Roman" w:cs="Times New Roman"/>
          <w:color w:val="auto"/>
          <w:sz w:val="20"/>
          <w:szCs w:val="20"/>
        </w:rPr>
        <w:t>and online courses during the Year 3 administration was statistically reliable (when both face-to-to-face and online courses were evaluated with online surveys), the effect was small (η</w:t>
      </w:r>
      <w:r>
        <w:rPr>
          <w:rFonts w:ascii="Times New Roman" w:hAnsi="Times New Roman" w:cs="Times New Roman"/>
          <w:color w:val="auto"/>
          <w:sz w:val="20"/>
          <w:szCs w:val="20"/>
          <w:vertAlign w:val="subscript"/>
        </w:rPr>
        <w:t>p</w:t>
      </w:r>
      <w:r>
        <w:rPr>
          <w:rFonts w:ascii="Times New Roman" w:hAnsi="Times New Roman" w:cs="Times New Roman"/>
          <w:color w:val="auto"/>
          <w:sz w:val="20"/>
          <w:szCs w:val="20"/>
          <w:vertAlign w:val="superscript"/>
        </w:rPr>
        <w:t>2</w:t>
      </w:r>
      <w:r>
        <w:rPr>
          <w:rFonts w:ascii="Times New Roman" w:hAnsi="Times New Roman" w:cs="Times New Roman"/>
          <w:color w:val="auto"/>
          <w:sz w:val="20"/>
          <w:szCs w:val="20"/>
        </w:rPr>
        <w:t xml:space="preserve"> = .02). Thus, there was minimal difference in response rate between </w:t>
      </w:r>
      <w:r>
        <w:rPr>
          <w:rFonts w:ascii="Times New Roman" w:hAnsi="Times New Roman" w:cs="Times New Roman"/>
          <w:color w:val="auto"/>
          <w:sz w:val="20"/>
          <w:szCs w:val="20"/>
        </w:rPr>
        <w:t>face-to-face and online courses when evaluations were administered online for all courses. No other factors or interactions included in the analysis were statistically reliable.</w:t>
      </w:r>
    </w:p>
    <w:p w14:paraId="699B7F3A" w14:textId="77777777" w:rsidR="004D01E1" w:rsidRDefault="004D01E1">
      <w:pPr>
        <w:tabs>
          <w:tab w:val="left" w:pos="274"/>
        </w:tabs>
        <w:spacing w:line="240" w:lineRule="auto"/>
        <w:ind w:firstLine="0"/>
        <w:jc w:val="both"/>
        <w:rPr>
          <w:rFonts w:ascii="Times New Roman" w:hAnsi="Times New Roman" w:cs="Times New Roman"/>
          <w:color w:val="auto"/>
          <w:sz w:val="20"/>
          <w:szCs w:val="20"/>
        </w:rPr>
      </w:pPr>
    </w:p>
    <w:p w14:paraId="0D6CC0A5" w14:textId="77777777" w:rsidR="004D01E1" w:rsidRDefault="004D01E1">
      <w:pPr>
        <w:tabs>
          <w:tab w:val="left" w:pos="274"/>
        </w:tabs>
        <w:spacing w:line="240" w:lineRule="auto"/>
        <w:ind w:firstLine="0"/>
        <w:jc w:val="both"/>
        <w:rPr>
          <w:rFonts w:ascii="Times New Roman" w:hAnsi="Times New Roman" w:cs="Times New Roman"/>
          <w:color w:val="auto"/>
          <w:sz w:val="20"/>
          <w:szCs w:val="20"/>
        </w:rPr>
      </w:pPr>
    </w:p>
    <w:p w14:paraId="202734FD" w14:textId="77777777" w:rsidR="004D01E1" w:rsidRDefault="00CB6E26">
      <w:pPr>
        <w:pStyle w:val="ListParagraph"/>
        <w:numPr>
          <w:ilvl w:val="1"/>
          <w:numId w:val="1"/>
        </w:numPr>
        <w:tabs>
          <w:tab w:val="clear" w:pos="3068"/>
        </w:tabs>
        <w:ind w:left="450" w:hanging="450"/>
        <w:rPr>
          <w:rFonts w:ascii="Times New Roman" w:hAnsi="Times New Roman" w:cs="Times New Roman"/>
          <w:bCs/>
          <w:color w:val="auto"/>
          <w:sz w:val="22"/>
          <w:szCs w:val="22"/>
        </w:rPr>
      </w:pPr>
      <w:r>
        <w:rPr>
          <w:rFonts w:ascii="Times New Roman" w:hAnsi="Times New Roman" w:cs="Times New Roman"/>
          <w:bCs/>
          <w:color w:val="auto"/>
          <w:sz w:val="22"/>
          <w:szCs w:val="22"/>
        </w:rPr>
        <w:t>Evaluation Ratings</w:t>
      </w:r>
    </w:p>
    <w:p w14:paraId="1B28867C" w14:textId="77777777" w:rsidR="004D01E1" w:rsidRDefault="00CB6E26">
      <w:pPr>
        <w:tabs>
          <w:tab w:val="left" w:pos="288"/>
        </w:tabs>
        <w:spacing w:line="240" w:lineRule="auto"/>
        <w:ind w:firstLine="0"/>
        <w:jc w:val="both"/>
      </w:pPr>
      <w:r>
        <w:rPr>
          <w:rFonts w:ascii="Times New Roman" w:hAnsi="Times New Roman" w:cs="Times New Roman"/>
          <w:color w:val="auto"/>
          <w:sz w:val="20"/>
          <w:szCs w:val="20"/>
        </w:rPr>
        <w:tab/>
        <w:t xml:space="preserve">The same 2 × 3 × 3 analysis of variance model was </w:t>
      </w:r>
      <w:r>
        <w:rPr>
          <w:rFonts w:ascii="Times New Roman" w:hAnsi="Times New Roman" w:cs="Times New Roman"/>
          <w:color w:val="auto"/>
          <w:sz w:val="20"/>
          <w:szCs w:val="20"/>
        </w:rPr>
        <w:t xml:space="preserve">used to evaluate mean SET ratings. This analysis produced two statistically significant main effects. The first main effect involved evaluation year, </w:t>
      </w:r>
      <w:proofErr w:type="gramStart"/>
      <w:r>
        <w:rPr>
          <w:rFonts w:ascii="Times New Roman" w:hAnsi="Times New Roman" w:cs="Times New Roman"/>
          <w:color w:val="auto"/>
          <w:sz w:val="20"/>
          <w:szCs w:val="20"/>
        </w:rPr>
        <w:t>F(</w:t>
      </w:r>
      <w:proofErr w:type="gramEnd"/>
      <w:r>
        <w:rPr>
          <w:rFonts w:ascii="Times New Roman" w:hAnsi="Times New Roman" w:cs="Times New Roman"/>
          <w:color w:val="auto"/>
          <w:sz w:val="20"/>
          <w:szCs w:val="20"/>
        </w:rPr>
        <w:t>1.86, 716) = 3.44, MSE = 0.18, p = .03 (ηp2 = .01; see Footnote 1). Evaluation ratings associated with t</w:t>
      </w:r>
      <w:r>
        <w:rPr>
          <w:rFonts w:ascii="Times New Roman" w:hAnsi="Times New Roman" w:cs="Times New Roman"/>
          <w:color w:val="auto"/>
          <w:sz w:val="20"/>
          <w:szCs w:val="20"/>
        </w:rPr>
        <w:t xml:space="preserve">he Year 3 administration (M = 3.26, SD = 0.60) were significantly lower than the evaluation ratings associated with both the Year 1 (M = 3.35, SD = 0.53) and Year 2 (M = 3.38, SD = 0.54) administrations. Thus, all courses received lower SET scores in Year </w:t>
      </w:r>
      <w:r>
        <w:rPr>
          <w:rFonts w:ascii="Times New Roman" w:hAnsi="Times New Roman" w:cs="Times New Roman"/>
          <w:color w:val="auto"/>
          <w:sz w:val="20"/>
          <w:szCs w:val="20"/>
        </w:rPr>
        <w:t xml:space="preserve">3, regardless of course delivery method and course level. However, the size of this effect was small (the largest difference in mean rating was 0.11 on a five-item scale). </w:t>
      </w:r>
      <w:r>
        <w:rPr>
          <w:rFonts w:ascii="Times New Roman" w:hAnsi="Times New Roman" w:cs="Times New Roman"/>
          <w:color w:val="auto"/>
          <w:sz w:val="22"/>
          <w:szCs w:val="22"/>
        </w:rPr>
        <w:t xml:space="preserve">The second statistically significant main effect involved delivery mode, </w:t>
      </w:r>
      <w:proofErr w:type="gramStart"/>
      <w:r>
        <w:rPr>
          <w:rFonts w:ascii="Times New Roman" w:hAnsi="Times New Roman" w:cs="Times New Roman"/>
          <w:i/>
          <w:iCs/>
          <w:color w:val="auto"/>
          <w:sz w:val="22"/>
          <w:szCs w:val="22"/>
        </w:rPr>
        <w:t>F</w:t>
      </w:r>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1, 358) =</w:t>
      </w:r>
      <w:r>
        <w:rPr>
          <w:rFonts w:ascii="Times New Roman" w:hAnsi="Times New Roman" w:cs="Times New Roman"/>
          <w:color w:val="auto"/>
          <w:sz w:val="22"/>
          <w:szCs w:val="22"/>
        </w:rPr>
        <w:t xml:space="preserve"> 23.51, </w:t>
      </w:r>
      <w:r>
        <w:rPr>
          <w:rFonts w:ascii="Times New Roman" w:hAnsi="Times New Roman" w:cs="Times New Roman"/>
          <w:i/>
          <w:sz w:val="22"/>
          <w:szCs w:val="22"/>
        </w:rPr>
        <w:t xml:space="preserve">MSE </w:t>
      </w:r>
      <w:r>
        <w:rPr>
          <w:rFonts w:ascii="Times New Roman" w:hAnsi="Times New Roman" w:cs="Times New Roman"/>
          <w:color w:val="auto"/>
          <w:sz w:val="22"/>
          <w:szCs w:val="22"/>
        </w:rPr>
        <w:t xml:space="preserve">= 0.52, </w:t>
      </w:r>
      <w:r>
        <w:rPr>
          <w:rFonts w:ascii="Times New Roman" w:hAnsi="Times New Roman" w:cs="Times New Roman"/>
          <w:i/>
          <w:iCs/>
          <w:color w:val="auto"/>
          <w:sz w:val="22"/>
          <w:szCs w:val="22"/>
        </w:rPr>
        <w:t>p</w:t>
      </w:r>
      <w:r>
        <w:rPr>
          <w:rFonts w:ascii="Times New Roman" w:hAnsi="Times New Roman" w:cs="Times New Roman"/>
          <w:color w:val="auto"/>
          <w:sz w:val="22"/>
          <w:szCs w:val="22"/>
        </w:rPr>
        <w:t> = .01 (η</w:t>
      </w:r>
      <w:r>
        <w:rPr>
          <w:rFonts w:ascii="Times New Roman" w:hAnsi="Times New Roman" w:cs="Times New Roman"/>
          <w:color w:val="auto"/>
          <w:sz w:val="22"/>
          <w:szCs w:val="22"/>
          <w:vertAlign w:val="subscript"/>
        </w:rPr>
        <w:t>p</w:t>
      </w:r>
      <w:r>
        <w:rPr>
          <w:rFonts w:ascii="Times New Roman" w:hAnsi="Times New Roman" w:cs="Times New Roman"/>
          <w:color w:val="auto"/>
          <w:sz w:val="22"/>
          <w:szCs w:val="22"/>
          <w:vertAlign w:val="superscript"/>
        </w:rPr>
        <w:t>2</w:t>
      </w:r>
      <w:r>
        <w:rPr>
          <w:rFonts w:ascii="Times New Roman" w:hAnsi="Times New Roman" w:cs="Times New Roman"/>
          <w:color w:val="auto"/>
          <w:sz w:val="22"/>
          <w:szCs w:val="22"/>
        </w:rPr>
        <w:t> = .06; see Footnote 2). Face-to-face courses (</w:t>
      </w:r>
      <w:r>
        <w:rPr>
          <w:rFonts w:ascii="Times New Roman" w:hAnsi="Times New Roman" w:cs="Times New Roman"/>
          <w:i/>
          <w:iCs/>
          <w:color w:val="auto"/>
          <w:sz w:val="22"/>
          <w:szCs w:val="22"/>
        </w:rPr>
        <w:t>M</w:t>
      </w:r>
      <w:r>
        <w:rPr>
          <w:rFonts w:ascii="Times New Roman" w:hAnsi="Times New Roman" w:cs="Times New Roman"/>
          <w:color w:val="auto"/>
          <w:sz w:val="22"/>
          <w:szCs w:val="22"/>
        </w:rPr>
        <w:t xml:space="preserve"> = 3.41, </w:t>
      </w:r>
      <w:r>
        <w:rPr>
          <w:rFonts w:ascii="Times New Roman" w:hAnsi="Times New Roman" w:cs="Times New Roman"/>
          <w:i/>
          <w:iCs/>
          <w:color w:val="auto"/>
          <w:sz w:val="22"/>
          <w:szCs w:val="22"/>
        </w:rPr>
        <w:t>SD</w:t>
      </w:r>
      <w:r>
        <w:rPr>
          <w:rFonts w:ascii="Times New Roman" w:hAnsi="Times New Roman" w:cs="Times New Roman"/>
          <w:color w:val="auto"/>
          <w:sz w:val="22"/>
          <w:szCs w:val="22"/>
        </w:rPr>
        <w:t> = 0.50) received significantly higher mean ratings than did online courses (</w:t>
      </w:r>
      <w:r>
        <w:rPr>
          <w:rFonts w:ascii="Times New Roman" w:hAnsi="Times New Roman" w:cs="Times New Roman"/>
          <w:i/>
          <w:iCs/>
          <w:color w:val="auto"/>
          <w:sz w:val="22"/>
          <w:szCs w:val="22"/>
        </w:rPr>
        <w:t>M</w:t>
      </w:r>
      <w:r>
        <w:rPr>
          <w:rFonts w:ascii="Times New Roman" w:hAnsi="Times New Roman" w:cs="Times New Roman"/>
          <w:color w:val="auto"/>
          <w:sz w:val="22"/>
          <w:szCs w:val="22"/>
        </w:rPr>
        <w:t xml:space="preserve"> = 3.13, </w:t>
      </w:r>
      <w:r>
        <w:rPr>
          <w:rFonts w:ascii="Times New Roman" w:hAnsi="Times New Roman" w:cs="Times New Roman"/>
          <w:i/>
          <w:iCs/>
          <w:color w:val="auto"/>
          <w:sz w:val="22"/>
          <w:szCs w:val="22"/>
        </w:rPr>
        <w:t>SD</w:t>
      </w:r>
      <w:r>
        <w:rPr>
          <w:rFonts w:ascii="Times New Roman" w:hAnsi="Times New Roman" w:cs="Times New Roman"/>
          <w:color w:val="auto"/>
          <w:sz w:val="22"/>
          <w:szCs w:val="22"/>
        </w:rPr>
        <w:t> = 0.63), regardless of evaluation year and course level. No other factors o</w:t>
      </w:r>
      <w:r>
        <w:rPr>
          <w:rFonts w:ascii="Times New Roman" w:hAnsi="Times New Roman" w:cs="Times New Roman"/>
          <w:color w:val="auto"/>
          <w:sz w:val="22"/>
          <w:szCs w:val="22"/>
        </w:rPr>
        <w:t>r interactions included in the analysis were statistically reliable.</w:t>
      </w:r>
    </w:p>
    <w:p w14:paraId="7CBBFBD7" w14:textId="77777777" w:rsidR="004D01E1" w:rsidRDefault="004D01E1">
      <w:pPr>
        <w:tabs>
          <w:tab w:val="left" w:pos="288"/>
        </w:tabs>
        <w:spacing w:line="240" w:lineRule="auto"/>
        <w:ind w:firstLine="0"/>
        <w:jc w:val="both"/>
        <w:rPr>
          <w:rFonts w:ascii="Times New Roman" w:hAnsi="Times New Roman" w:cs="Times New Roman"/>
          <w:color w:val="auto"/>
          <w:sz w:val="22"/>
          <w:szCs w:val="22"/>
        </w:rPr>
      </w:pPr>
    </w:p>
    <w:p w14:paraId="52B95B2B" w14:textId="77777777" w:rsidR="004D01E1" w:rsidRDefault="004D01E1">
      <w:pPr>
        <w:tabs>
          <w:tab w:val="left" w:pos="288"/>
        </w:tabs>
        <w:spacing w:line="240" w:lineRule="auto"/>
        <w:ind w:firstLine="0"/>
        <w:jc w:val="both"/>
        <w:rPr>
          <w:rFonts w:ascii="Times New Roman" w:hAnsi="Times New Roman" w:cs="Times New Roman"/>
          <w:color w:val="auto"/>
          <w:sz w:val="22"/>
          <w:szCs w:val="22"/>
        </w:rPr>
      </w:pPr>
    </w:p>
    <w:p w14:paraId="2BEB6866" w14:textId="77777777" w:rsidR="004D01E1" w:rsidRDefault="00CB6E26">
      <w:pPr>
        <w:pStyle w:val="ListParagraph"/>
        <w:numPr>
          <w:ilvl w:val="2"/>
          <w:numId w:val="1"/>
        </w:numPr>
        <w:tabs>
          <w:tab w:val="clear" w:pos="3068"/>
        </w:tabs>
        <w:ind w:left="630" w:hanging="630"/>
        <w:rPr>
          <w:rFonts w:ascii="Times New Roman" w:hAnsi="Times New Roman" w:cs="Times New Roman"/>
          <w:bCs/>
          <w:color w:val="auto"/>
          <w:sz w:val="22"/>
          <w:szCs w:val="22"/>
        </w:rPr>
      </w:pPr>
      <w:r>
        <w:rPr>
          <w:rFonts w:ascii="Times New Roman" w:hAnsi="Times New Roman" w:cs="Times New Roman"/>
          <w:bCs/>
          <w:color w:val="auto"/>
          <w:sz w:val="22"/>
          <w:szCs w:val="22"/>
        </w:rPr>
        <w:t>Stability of Ratings</w:t>
      </w:r>
    </w:p>
    <w:p w14:paraId="0110DA7D" w14:textId="77777777" w:rsidR="004D01E1" w:rsidRDefault="00CB6E26">
      <w:pPr>
        <w:tabs>
          <w:tab w:val="left" w:pos="288"/>
        </w:tabs>
        <w:spacing w:line="240" w:lineRule="auto"/>
        <w:ind w:firstLine="0"/>
        <w:jc w:val="both"/>
      </w:pPr>
      <w:r>
        <w:rPr>
          <w:rFonts w:ascii="Times New Roman" w:hAnsi="Times New Roman" w:cs="Times New Roman"/>
          <w:color w:val="auto"/>
          <w:sz w:val="20"/>
          <w:szCs w:val="20"/>
        </w:rPr>
        <w:tab/>
        <w:t xml:space="preserve">The scatterplot presented in Figure 1 illustrates the relation between SET scores and response rate. Although the correlation between SET scores and response rate </w:t>
      </w:r>
      <w:r>
        <w:rPr>
          <w:rFonts w:ascii="Times New Roman" w:hAnsi="Times New Roman" w:cs="Times New Roman"/>
          <w:color w:val="auto"/>
          <w:sz w:val="20"/>
          <w:szCs w:val="20"/>
        </w:rPr>
        <w:t xml:space="preserve">was small and not statistically significant, </w:t>
      </w:r>
      <w:proofErr w:type="gramStart"/>
      <w:r>
        <w:rPr>
          <w:rFonts w:ascii="Times New Roman" w:hAnsi="Times New Roman" w:cs="Times New Roman"/>
          <w:i/>
          <w:iCs/>
          <w:color w:val="auto"/>
          <w:sz w:val="20"/>
          <w:szCs w:val="20"/>
        </w:rPr>
        <w:t>r</w:t>
      </w:r>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 xml:space="preserve">362) = .07, visual </w:t>
      </w:r>
      <w:r>
        <w:rPr>
          <w:rFonts w:ascii="Times New Roman" w:hAnsi="Times New Roman" w:cs="Times New Roman"/>
          <w:color w:val="auto"/>
          <w:sz w:val="20"/>
          <w:szCs w:val="20"/>
        </w:rPr>
        <w:lastRenderedPageBreak/>
        <w:t xml:space="preserve">inspection of the plot of SET scores suggests that SET ratings became less variable as response rate increased. We conducted </w:t>
      </w:r>
      <w:proofErr w:type="spellStart"/>
      <w:r>
        <w:rPr>
          <w:rFonts w:ascii="Times New Roman" w:hAnsi="Times New Roman" w:cs="Times New Roman"/>
          <w:color w:val="auto"/>
          <w:sz w:val="20"/>
          <w:szCs w:val="20"/>
        </w:rPr>
        <w:t>Levene’s</w:t>
      </w:r>
      <w:proofErr w:type="spellEnd"/>
      <w:r>
        <w:rPr>
          <w:rFonts w:ascii="Times New Roman" w:hAnsi="Times New Roman" w:cs="Times New Roman"/>
          <w:color w:val="auto"/>
          <w:sz w:val="20"/>
          <w:szCs w:val="20"/>
        </w:rPr>
        <w:t xml:space="preserve"> test to evaluate the variability of SET scores </w:t>
      </w:r>
      <w:r>
        <w:rPr>
          <w:rFonts w:ascii="Times New Roman" w:hAnsi="Times New Roman" w:cs="Times New Roman"/>
          <w:color w:val="auto"/>
          <w:sz w:val="20"/>
          <w:szCs w:val="20"/>
        </w:rPr>
        <w:t xml:space="preserve">above and below the 60% response rate, which several researchers have recommended as an acceptable threshold for response rates (Berk, 2012, 2013; </w:t>
      </w:r>
      <w:proofErr w:type="spellStart"/>
      <w:r>
        <w:rPr>
          <w:rFonts w:ascii="Times New Roman" w:hAnsi="Times New Roman" w:cs="Times New Roman"/>
          <w:color w:val="auto"/>
          <w:sz w:val="20"/>
          <w:szCs w:val="20"/>
        </w:rPr>
        <w:t>Nulty</w:t>
      </w:r>
      <w:proofErr w:type="spellEnd"/>
      <w:r>
        <w:rPr>
          <w:rFonts w:ascii="Times New Roman" w:hAnsi="Times New Roman" w:cs="Times New Roman"/>
          <w:color w:val="auto"/>
          <w:sz w:val="20"/>
          <w:szCs w:val="20"/>
        </w:rPr>
        <w:t xml:space="preserve">, 2008). The variability of scores above and below the 60% threshold was not statistically reliable, </w:t>
      </w:r>
      <w:proofErr w:type="gramStart"/>
      <w:r>
        <w:rPr>
          <w:rFonts w:ascii="Times New Roman" w:hAnsi="Times New Roman" w:cs="Times New Roman"/>
          <w:i/>
          <w:iCs/>
          <w:color w:val="auto"/>
          <w:sz w:val="20"/>
          <w:szCs w:val="20"/>
        </w:rPr>
        <w:t>F</w:t>
      </w:r>
      <w:r>
        <w:rPr>
          <w:rFonts w:ascii="Times New Roman" w:hAnsi="Times New Roman" w:cs="Times New Roman"/>
          <w:color w:val="auto"/>
          <w:sz w:val="20"/>
          <w:szCs w:val="20"/>
        </w:rPr>
        <w:t>(</w:t>
      </w:r>
      <w:proofErr w:type="gramEnd"/>
      <w:r>
        <w:rPr>
          <w:rFonts w:ascii="Times New Roman" w:hAnsi="Times New Roman" w:cs="Times New Roman"/>
          <w:color w:val="auto"/>
          <w:sz w:val="20"/>
          <w:szCs w:val="20"/>
        </w:rPr>
        <w:t>1</w:t>
      </w:r>
      <w:r>
        <w:rPr>
          <w:rFonts w:ascii="Times New Roman" w:hAnsi="Times New Roman" w:cs="Times New Roman"/>
          <w:color w:val="auto"/>
          <w:sz w:val="20"/>
          <w:szCs w:val="20"/>
        </w:rPr>
        <w:t xml:space="preserve">, 362) = 1.53, </w:t>
      </w:r>
      <w:r>
        <w:rPr>
          <w:rFonts w:ascii="Times New Roman" w:hAnsi="Times New Roman" w:cs="Times New Roman"/>
          <w:i/>
          <w:iCs/>
          <w:color w:val="auto"/>
          <w:sz w:val="20"/>
          <w:szCs w:val="20"/>
        </w:rPr>
        <w:t>p</w:t>
      </w:r>
      <w:r>
        <w:rPr>
          <w:rFonts w:ascii="Times New Roman" w:hAnsi="Times New Roman" w:cs="Times New Roman"/>
          <w:color w:val="auto"/>
          <w:sz w:val="20"/>
          <w:szCs w:val="20"/>
        </w:rPr>
        <w:t> = .22.</w:t>
      </w:r>
    </w:p>
    <w:p w14:paraId="7E9AA12F" w14:textId="77777777" w:rsidR="004D01E1" w:rsidRDefault="004D01E1">
      <w:pPr>
        <w:tabs>
          <w:tab w:val="clear" w:pos="3068"/>
        </w:tabs>
        <w:ind w:left="720" w:hanging="720"/>
        <w:jc w:val="center"/>
        <w:rPr>
          <w:rFonts w:ascii="Times New Roman" w:hAnsi="Times New Roman" w:cs="Times New Roman"/>
          <w:b/>
          <w:color w:val="auto"/>
          <w:sz w:val="16"/>
          <w:szCs w:val="16"/>
        </w:rPr>
      </w:pPr>
    </w:p>
    <w:p w14:paraId="0D2675A0" w14:textId="77777777" w:rsidR="004D01E1" w:rsidRDefault="00CB6E26">
      <w:pPr>
        <w:tabs>
          <w:tab w:val="clear" w:pos="3068"/>
        </w:tabs>
        <w:ind w:left="720" w:hanging="720"/>
        <w:jc w:val="center"/>
      </w:pPr>
      <w:r>
        <w:rPr>
          <w:rFonts w:ascii="Times New Roman" w:hAnsi="Times New Roman" w:cs="Times New Roman"/>
          <w:b/>
          <w:color w:val="auto"/>
          <w:sz w:val="20"/>
          <w:szCs w:val="20"/>
        </w:rPr>
        <w:t xml:space="preserve">Table 1: </w:t>
      </w:r>
      <w:r>
        <w:rPr>
          <w:rFonts w:ascii="Times New Roman" w:hAnsi="Times New Roman" w:cs="Times New Roman"/>
          <w:iCs/>
          <w:color w:val="auto"/>
          <w:sz w:val="20"/>
          <w:szCs w:val="20"/>
        </w:rPr>
        <w:t>Means and Standard Deviations for Response Rates (Year)</w:t>
      </w:r>
    </w:p>
    <w:tbl>
      <w:tblPr>
        <w:tblW w:w="9350" w:type="dxa"/>
        <w:tblCellMar>
          <w:left w:w="10" w:type="dxa"/>
          <w:right w:w="10" w:type="dxa"/>
        </w:tblCellMar>
        <w:tblLook w:val="0000" w:firstRow="0" w:lastRow="0" w:firstColumn="0" w:lastColumn="0" w:noHBand="0" w:noVBand="0"/>
      </w:tblPr>
      <w:tblGrid>
        <w:gridCol w:w="2155"/>
        <w:gridCol w:w="1798"/>
        <w:gridCol w:w="1799"/>
        <w:gridCol w:w="1799"/>
        <w:gridCol w:w="1799"/>
      </w:tblGrid>
      <w:tr w:rsidR="004D01E1" w14:paraId="3B74E616" w14:textId="77777777">
        <w:tblPrEx>
          <w:tblCellMar>
            <w:top w:w="0" w:type="dxa"/>
            <w:bottom w:w="0" w:type="dxa"/>
          </w:tblCellMar>
        </w:tblPrEx>
        <w:tc>
          <w:tcPr>
            <w:tcW w:w="2155" w:type="dxa"/>
            <w:vMerge w:val="restart"/>
            <w:tcBorders>
              <w:top w:val="single" w:sz="8" w:space="0" w:color="000000"/>
              <w:bottom w:val="single" w:sz="8" w:space="0" w:color="000000"/>
            </w:tcBorders>
            <w:shd w:val="clear" w:color="auto" w:fill="auto"/>
            <w:tcMar>
              <w:top w:w="0" w:type="dxa"/>
              <w:left w:w="108" w:type="dxa"/>
              <w:bottom w:w="0" w:type="dxa"/>
              <w:right w:w="108" w:type="dxa"/>
            </w:tcMar>
          </w:tcPr>
          <w:p w14:paraId="177B2935"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Administration year</w:t>
            </w:r>
          </w:p>
        </w:tc>
        <w:tc>
          <w:tcPr>
            <w:tcW w:w="3597"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6AE8A4ED"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Face-to-face course</w:t>
            </w:r>
          </w:p>
        </w:tc>
        <w:tc>
          <w:tcPr>
            <w:tcW w:w="3598" w:type="dxa"/>
            <w:gridSpan w:val="2"/>
            <w:tcBorders>
              <w:top w:val="single" w:sz="8" w:space="0" w:color="000000"/>
              <w:bottom w:val="single" w:sz="8" w:space="0" w:color="000000"/>
            </w:tcBorders>
            <w:shd w:val="clear" w:color="auto" w:fill="auto"/>
            <w:tcMar>
              <w:top w:w="0" w:type="dxa"/>
              <w:left w:w="108" w:type="dxa"/>
              <w:bottom w:w="0" w:type="dxa"/>
              <w:right w:w="108" w:type="dxa"/>
            </w:tcMar>
          </w:tcPr>
          <w:p w14:paraId="7A0C0DA8"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Online course</w:t>
            </w:r>
          </w:p>
        </w:tc>
      </w:tr>
      <w:tr w:rsidR="004D01E1" w14:paraId="34B706B4" w14:textId="77777777">
        <w:tblPrEx>
          <w:tblCellMar>
            <w:top w:w="0" w:type="dxa"/>
            <w:bottom w:w="0" w:type="dxa"/>
          </w:tblCellMar>
        </w:tblPrEx>
        <w:tc>
          <w:tcPr>
            <w:tcW w:w="2155" w:type="dxa"/>
            <w:vMerge/>
            <w:tcBorders>
              <w:top w:val="single" w:sz="8" w:space="0" w:color="000000"/>
              <w:bottom w:val="single" w:sz="8" w:space="0" w:color="000000"/>
            </w:tcBorders>
            <w:shd w:val="clear" w:color="auto" w:fill="auto"/>
            <w:tcMar>
              <w:top w:w="0" w:type="dxa"/>
              <w:left w:w="108" w:type="dxa"/>
              <w:bottom w:w="0" w:type="dxa"/>
              <w:right w:w="108" w:type="dxa"/>
            </w:tcMar>
          </w:tcPr>
          <w:p w14:paraId="0EAB9DCE" w14:textId="77777777" w:rsidR="004D01E1" w:rsidRDefault="004D01E1">
            <w:pPr>
              <w:tabs>
                <w:tab w:val="clear" w:pos="3068"/>
              </w:tabs>
              <w:spacing w:after="120" w:line="240" w:lineRule="auto"/>
              <w:ind w:firstLine="0"/>
              <w:rPr>
                <w:rFonts w:ascii="Times New Roman" w:hAnsi="Times New Roman" w:cs="Times New Roman"/>
                <w:color w:val="auto"/>
                <w:sz w:val="20"/>
                <w:szCs w:val="20"/>
              </w:rPr>
            </w:pPr>
          </w:p>
        </w:tc>
        <w:tc>
          <w:tcPr>
            <w:tcW w:w="1798" w:type="dxa"/>
            <w:tcBorders>
              <w:top w:val="single" w:sz="8" w:space="0" w:color="000000"/>
              <w:bottom w:val="single" w:sz="8" w:space="0" w:color="000000"/>
            </w:tcBorders>
            <w:shd w:val="clear" w:color="auto" w:fill="auto"/>
            <w:tcMar>
              <w:top w:w="0" w:type="dxa"/>
              <w:left w:w="108" w:type="dxa"/>
              <w:bottom w:w="0" w:type="dxa"/>
              <w:right w:w="108" w:type="dxa"/>
            </w:tcMar>
          </w:tcPr>
          <w:p w14:paraId="68D1AA12" w14:textId="77777777" w:rsidR="004D01E1" w:rsidRDefault="00CB6E26">
            <w:pPr>
              <w:tabs>
                <w:tab w:val="clear" w:pos="3068"/>
              </w:tabs>
              <w:spacing w:after="120"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M</w:t>
            </w:r>
          </w:p>
        </w:tc>
        <w:tc>
          <w:tcPr>
            <w:tcW w:w="1799" w:type="dxa"/>
            <w:tcBorders>
              <w:top w:val="single" w:sz="8" w:space="0" w:color="000000"/>
              <w:bottom w:val="single" w:sz="8" w:space="0" w:color="000000"/>
            </w:tcBorders>
            <w:shd w:val="clear" w:color="auto" w:fill="auto"/>
            <w:tcMar>
              <w:top w:w="0" w:type="dxa"/>
              <w:left w:w="108" w:type="dxa"/>
              <w:bottom w:w="0" w:type="dxa"/>
              <w:right w:w="108" w:type="dxa"/>
            </w:tcMar>
          </w:tcPr>
          <w:p w14:paraId="4E766442" w14:textId="77777777" w:rsidR="004D01E1" w:rsidRDefault="00CB6E26">
            <w:pPr>
              <w:tabs>
                <w:tab w:val="clear" w:pos="3068"/>
              </w:tabs>
              <w:spacing w:after="120"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SD</w:t>
            </w:r>
          </w:p>
        </w:tc>
        <w:tc>
          <w:tcPr>
            <w:tcW w:w="1799" w:type="dxa"/>
            <w:tcBorders>
              <w:top w:val="single" w:sz="8" w:space="0" w:color="000000"/>
              <w:bottom w:val="single" w:sz="8" w:space="0" w:color="000000"/>
            </w:tcBorders>
            <w:shd w:val="clear" w:color="auto" w:fill="auto"/>
            <w:tcMar>
              <w:top w:w="0" w:type="dxa"/>
              <w:left w:w="108" w:type="dxa"/>
              <w:bottom w:w="0" w:type="dxa"/>
              <w:right w:w="108" w:type="dxa"/>
            </w:tcMar>
          </w:tcPr>
          <w:p w14:paraId="2EF10B26" w14:textId="77777777" w:rsidR="004D01E1" w:rsidRDefault="00CB6E26">
            <w:pPr>
              <w:tabs>
                <w:tab w:val="clear" w:pos="3068"/>
              </w:tabs>
              <w:spacing w:after="120"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M</w:t>
            </w:r>
          </w:p>
        </w:tc>
        <w:tc>
          <w:tcPr>
            <w:tcW w:w="1799" w:type="dxa"/>
            <w:tcBorders>
              <w:top w:val="single" w:sz="8" w:space="0" w:color="000000"/>
              <w:bottom w:val="single" w:sz="8" w:space="0" w:color="000000"/>
            </w:tcBorders>
            <w:shd w:val="clear" w:color="auto" w:fill="auto"/>
            <w:tcMar>
              <w:top w:w="0" w:type="dxa"/>
              <w:left w:w="108" w:type="dxa"/>
              <w:bottom w:w="0" w:type="dxa"/>
              <w:right w:w="108" w:type="dxa"/>
            </w:tcMar>
          </w:tcPr>
          <w:p w14:paraId="70457C1B" w14:textId="77777777" w:rsidR="004D01E1" w:rsidRDefault="00CB6E26">
            <w:pPr>
              <w:tabs>
                <w:tab w:val="clear" w:pos="3068"/>
              </w:tabs>
              <w:spacing w:after="120" w:line="240" w:lineRule="auto"/>
              <w:ind w:firstLine="0"/>
              <w:jc w:val="center"/>
              <w:rPr>
                <w:rFonts w:ascii="Times New Roman" w:hAnsi="Times New Roman" w:cs="Times New Roman"/>
                <w:i/>
                <w:color w:val="auto"/>
                <w:sz w:val="20"/>
                <w:szCs w:val="20"/>
              </w:rPr>
            </w:pPr>
            <w:r>
              <w:rPr>
                <w:rFonts w:ascii="Times New Roman" w:hAnsi="Times New Roman" w:cs="Times New Roman"/>
                <w:i/>
                <w:color w:val="auto"/>
                <w:sz w:val="20"/>
                <w:szCs w:val="20"/>
              </w:rPr>
              <w:t>SD</w:t>
            </w:r>
          </w:p>
        </w:tc>
      </w:tr>
      <w:tr w:rsidR="004D01E1" w14:paraId="69A50D43" w14:textId="77777777">
        <w:tblPrEx>
          <w:tblCellMar>
            <w:top w:w="0" w:type="dxa"/>
            <w:bottom w:w="0" w:type="dxa"/>
          </w:tblCellMar>
        </w:tblPrEx>
        <w:tc>
          <w:tcPr>
            <w:tcW w:w="2155" w:type="dxa"/>
            <w:tcBorders>
              <w:top w:val="single" w:sz="8" w:space="0" w:color="000000"/>
            </w:tcBorders>
            <w:shd w:val="clear" w:color="auto" w:fill="auto"/>
            <w:tcMar>
              <w:top w:w="0" w:type="dxa"/>
              <w:left w:w="108" w:type="dxa"/>
              <w:bottom w:w="0" w:type="dxa"/>
              <w:right w:w="108" w:type="dxa"/>
            </w:tcMar>
          </w:tcPr>
          <w:p w14:paraId="6C88FAA2" w14:textId="77777777" w:rsidR="004D01E1" w:rsidRDefault="00CB6E26">
            <w:pPr>
              <w:tabs>
                <w:tab w:val="clear" w:pos="3068"/>
              </w:tabs>
              <w:spacing w:after="120" w:line="240" w:lineRule="auto"/>
              <w:ind w:firstLine="0"/>
              <w:rPr>
                <w:rFonts w:ascii="Times New Roman" w:hAnsi="Times New Roman" w:cs="Times New Roman"/>
                <w:color w:val="auto"/>
                <w:sz w:val="20"/>
                <w:szCs w:val="20"/>
              </w:rPr>
            </w:pPr>
            <w:r>
              <w:rPr>
                <w:rFonts w:ascii="Times New Roman" w:hAnsi="Times New Roman" w:cs="Times New Roman"/>
                <w:color w:val="auto"/>
                <w:sz w:val="20"/>
                <w:szCs w:val="20"/>
              </w:rPr>
              <w:t>Year 1: 2012</w:t>
            </w:r>
          </w:p>
        </w:tc>
        <w:tc>
          <w:tcPr>
            <w:tcW w:w="1798" w:type="dxa"/>
            <w:tcBorders>
              <w:top w:val="single" w:sz="8" w:space="0" w:color="000000"/>
            </w:tcBorders>
            <w:shd w:val="clear" w:color="auto" w:fill="auto"/>
            <w:tcMar>
              <w:top w:w="0" w:type="dxa"/>
              <w:left w:w="108" w:type="dxa"/>
              <w:bottom w:w="0" w:type="dxa"/>
              <w:right w:w="108" w:type="dxa"/>
            </w:tcMar>
          </w:tcPr>
          <w:p w14:paraId="5E04117C"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71.72</w:t>
            </w:r>
          </w:p>
        </w:tc>
        <w:tc>
          <w:tcPr>
            <w:tcW w:w="1799" w:type="dxa"/>
            <w:tcBorders>
              <w:top w:val="single" w:sz="8" w:space="0" w:color="000000"/>
            </w:tcBorders>
            <w:shd w:val="clear" w:color="auto" w:fill="auto"/>
            <w:tcMar>
              <w:top w:w="0" w:type="dxa"/>
              <w:left w:w="108" w:type="dxa"/>
              <w:bottom w:w="0" w:type="dxa"/>
              <w:right w:w="108" w:type="dxa"/>
            </w:tcMar>
          </w:tcPr>
          <w:p w14:paraId="5D1FACF8"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16.42</w:t>
            </w:r>
          </w:p>
        </w:tc>
        <w:tc>
          <w:tcPr>
            <w:tcW w:w="1799" w:type="dxa"/>
            <w:tcBorders>
              <w:top w:val="single" w:sz="8" w:space="0" w:color="000000"/>
            </w:tcBorders>
            <w:shd w:val="clear" w:color="auto" w:fill="auto"/>
            <w:tcMar>
              <w:top w:w="0" w:type="dxa"/>
              <w:left w:w="108" w:type="dxa"/>
              <w:bottom w:w="0" w:type="dxa"/>
              <w:right w:w="108" w:type="dxa"/>
            </w:tcMar>
          </w:tcPr>
          <w:p w14:paraId="233B87A7"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32.93</w:t>
            </w:r>
          </w:p>
        </w:tc>
        <w:tc>
          <w:tcPr>
            <w:tcW w:w="1799" w:type="dxa"/>
            <w:tcBorders>
              <w:top w:val="single" w:sz="8" w:space="0" w:color="000000"/>
            </w:tcBorders>
            <w:shd w:val="clear" w:color="auto" w:fill="auto"/>
            <w:tcMar>
              <w:top w:w="0" w:type="dxa"/>
              <w:left w:w="108" w:type="dxa"/>
              <w:bottom w:w="0" w:type="dxa"/>
              <w:right w:w="108" w:type="dxa"/>
            </w:tcMar>
          </w:tcPr>
          <w:p w14:paraId="3DCFD82D"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15.73</w:t>
            </w:r>
          </w:p>
        </w:tc>
      </w:tr>
      <w:tr w:rsidR="004D01E1" w14:paraId="097DB70F" w14:textId="77777777">
        <w:tblPrEx>
          <w:tblCellMar>
            <w:top w:w="0" w:type="dxa"/>
            <w:bottom w:w="0" w:type="dxa"/>
          </w:tblCellMar>
        </w:tblPrEx>
        <w:tc>
          <w:tcPr>
            <w:tcW w:w="2155" w:type="dxa"/>
            <w:shd w:val="clear" w:color="auto" w:fill="auto"/>
            <w:tcMar>
              <w:top w:w="0" w:type="dxa"/>
              <w:left w:w="108" w:type="dxa"/>
              <w:bottom w:w="0" w:type="dxa"/>
              <w:right w:w="108" w:type="dxa"/>
            </w:tcMar>
          </w:tcPr>
          <w:p w14:paraId="7BFAB826" w14:textId="77777777" w:rsidR="004D01E1" w:rsidRDefault="00CB6E26">
            <w:pPr>
              <w:tabs>
                <w:tab w:val="clear" w:pos="3068"/>
              </w:tabs>
              <w:spacing w:after="120" w:line="240" w:lineRule="auto"/>
              <w:ind w:firstLine="0"/>
              <w:rPr>
                <w:rFonts w:ascii="Times New Roman" w:hAnsi="Times New Roman" w:cs="Times New Roman"/>
                <w:color w:val="auto"/>
                <w:sz w:val="20"/>
                <w:szCs w:val="20"/>
              </w:rPr>
            </w:pPr>
            <w:r>
              <w:rPr>
                <w:rFonts w:ascii="Times New Roman" w:hAnsi="Times New Roman" w:cs="Times New Roman"/>
                <w:color w:val="auto"/>
                <w:sz w:val="20"/>
                <w:szCs w:val="20"/>
              </w:rPr>
              <w:t>Year 2: 2013</w:t>
            </w:r>
          </w:p>
        </w:tc>
        <w:tc>
          <w:tcPr>
            <w:tcW w:w="1798" w:type="dxa"/>
            <w:shd w:val="clear" w:color="auto" w:fill="auto"/>
            <w:tcMar>
              <w:top w:w="0" w:type="dxa"/>
              <w:left w:w="108" w:type="dxa"/>
              <w:bottom w:w="0" w:type="dxa"/>
              <w:right w:w="108" w:type="dxa"/>
            </w:tcMar>
          </w:tcPr>
          <w:p w14:paraId="5C7790D3"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72.31</w:t>
            </w:r>
          </w:p>
        </w:tc>
        <w:tc>
          <w:tcPr>
            <w:tcW w:w="1799" w:type="dxa"/>
            <w:shd w:val="clear" w:color="auto" w:fill="auto"/>
            <w:tcMar>
              <w:top w:w="0" w:type="dxa"/>
              <w:left w:w="108" w:type="dxa"/>
              <w:bottom w:w="0" w:type="dxa"/>
              <w:right w:w="108" w:type="dxa"/>
            </w:tcMar>
          </w:tcPr>
          <w:p w14:paraId="71FBD4C7"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14.93</w:t>
            </w:r>
          </w:p>
        </w:tc>
        <w:tc>
          <w:tcPr>
            <w:tcW w:w="1799" w:type="dxa"/>
            <w:shd w:val="clear" w:color="auto" w:fill="auto"/>
            <w:tcMar>
              <w:top w:w="0" w:type="dxa"/>
              <w:left w:w="108" w:type="dxa"/>
              <w:bottom w:w="0" w:type="dxa"/>
              <w:right w:w="108" w:type="dxa"/>
            </w:tcMar>
          </w:tcPr>
          <w:p w14:paraId="651EC63C"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32.55</w:t>
            </w:r>
          </w:p>
        </w:tc>
        <w:tc>
          <w:tcPr>
            <w:tcW w:w="1799" w:type="dxa"/>
            <w:shd w:val="clear" w:color="auto" w:fill="auto"/>
            <w:tcMar>
              <w:top w:w="0" w:type="dxa"/>
              <w:left w:w="108" w:type="dxa"/>
              <w:bottom w:w="0" w:type="dxa"/>
              <w:right w:w="108" w:type="dxa"/>
            </w:tcMar>
          </w:tcPr>
          <w:p w14:paraId="68A7D405"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15.96</w:t>
            </w:r>
          </w:p>
        </w:tc>
      </w:tr>
      <w:tr w:rsidR="004D01E1" w14:paraId="5C38CC0D" w14:textId="77777777">
        <w:tblPrEx>
          <w:tblCellMar>
            <w:top w:w="0" w:type="dxa"/>
            <w:bottom w:w="0" w:type="dxa"/>
          </w:tblCellMar>
        </w:tblPrEx>
        <w:tc>
          <w:tcPr>
            <w:tcW w:w="2155" w:type="dxa"/>
            <w:tcBorders>
              <w:bottom w:val="single" w:sz="8" w:space="0" w:color="000000"/>
            </w:tcBorders>
            <w:shd w:val="clear" w:color="auto" w:fill="auto"/>
            <w:tcMar>
              <w:top w:w="0" w:type="dxa"/>
              <w:left w:w="108" w:type="dxa"/>
              <w:bottom w:w="0" w:type="dxa"/>
              <w:right w:w="108" w:type="dxa"/>
            </w:tcMar>
          </w:tcPr>
          <w:p w14:paraId="36E47BDD" w14:textId="77777777" w:rsidR="004D01E1" w:rsidRDefault="00CB6E26">
            <w:pPr>
              <w:tabs>
                <w:tab w:val="clear" w:pos="3068"/>
              </w:tabs>
              <w:spacing w:after="120" w:line="240" w:lineRule="auto"/>
              <w:ind w:firstLine="0"/>
              <w:rPr>
                <w:rFonts w:ascii="Times New Roman" w:hAnsi="Times New Roman" w:cs="Times New Roman"/>
                <w:color w:val="auto"/>
                <w:sz w:val="20"/>
                <w:szCs w:val="20"/>
              </w:rPr>
            </w:pPr>
            <w:r>
              <w:rPr>
                <w:rFonts w:ascii="Times New Roman" w:hAnsi="Times New Roman" w:cs="Times New Roman"/>
                <w:color w:val="auto"/>
                <w:sz w:val="20"/>
                <w:szCs w:val="20"/>
              </w:rPr>
              <w:t>Year 3: 2014</w:t>
            </w:r>
          </w:p>
        </w:tc>
        <w:tc>
          <w:tcPr>
            <w:tcW w:w="1798" w:type="dxa"/>
            <w:tcBorders>
              <w:bottom w:val="single" w:sz="8" w:space="0" w:color="000000"/>
            </w:tcBorders>
            <w:shd w:val="clear" w:color="auto" w:fill="auto"/>
            <w:tcMar>
              <w:top w:w="0" w:type="dxa"/>
              <w:left w:w="108" w:type="dxa"/>
              <w:bottom w:w="0" w:type="dxa"/>
              <w:right w:w="108" w:type="dxa"/>
            </w:tcMar>
          </w:tcPr>
          <w:p w14:paraId="767096B6"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47.18</w:t>
            </w:r>
          </w:p>
        </w:tc>
        <w:tc>
          <w:tcPr>
            <w:tcW w:w="1799" w:type="dxa"/>
            <w:tcBorders>
              <w:bottom w:val="single" w:sz="8" w:space="0" w:color="000000"/>
            </w:tcBorders>
            <w:shd w:val="clear" w:color="auto" w:fill="auto"/>
            <w:tcMar>
              <w:top w:w="0" w:type="dxa"/>
              <w:left w:w="108" w:type="dxa"/>
              <w:bottom w:w="0" w:type="dxa"/>
              <w:right w:w="108" w:type="dxa"/>
            </w:tcMar>
          </w:tcPr>
          <w:p w14:paraId="5852C49E"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20.11</w:t>
            </w:r>
          </w:p>
        </w:tc>
        <w:tc>
          <w:tcPr>
            <w:tcW w:w="1799" w:type="dxa"/>
            <w:tcBorders>
              <w:bottom w:val="single" w:sz="8" w:space="0" w:color="000000"/>
            </w:tcBorders>
            <w:shd w:val="clear" w:color="auto" w:fill="auto"/>
            <w:tcMar>
              <w:top w:w="0" w:type="dxa"/>
              <w:left w:w="108" w:type="dxa"/>
              <w:bottom w:w="0" w:type="dxa"/>
              <w:right w:w="108" w:type="dxa"/>
            </w:tcMar>
          </w:tcPr>
          <w:p w14:paraId="7A4DCF04"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41.60</w:t>
            </w:r>
          </w:p>
        </w:tc>
        <w:tc>
          <w:tcPr>
            <w:tcW w:w="1799" w:type="dxa"/>
            <w:tcBorders>
              <w:bottom w:val="single" w:sz="8" w:space="0" w:color="000000"/>
            </w:tcBorders>
            <w:shd w:val="clear" w:color="auto" w:fill="auto"/>
            <w:tcMar>
              <w:top w:w="0" w:type="dxa"/>
              <w:left w:w="108" w:type="dxa"/>
              <w:bottom w:w="0" w:type="dxa"/>
              <w:right w:w="108" w:type="dxa"/>
            </w:tcMar>
          </w:tcPr>
          <w:p w14:paraId="160BC2B1" w14:textId="77777777" w:rsidR="004D01E1" w:rsidRDefault="00CB6E26">
            <w:pPr>
              <w:tabs>
                <w:tab w:val="clear" w:pos="3068"/>
              </w:tabs>
              <w:spacing w:after="120" w:line="240" w:lineRule="auto"/>
              <w:ind w:firstLine="0"/>
              <w:jc w:val="center"/>
              <w:rPr>
                <w:rFonts w:ascii="Times New Roman" w:hAnsi="Times New Roman" w:cs="Times New Roman"/>
                <w:color w:val="auto"/>
                <w:sz w:val="20"/>
                <w:szCs w:val="20"/>
              </w:rPr>
            </w:pPr>
            <w:r>
              <w:rPr>
                <w:rFonts w:ascii="Times New Roman" w:hAnsi="Times New Roman" w:cs="Times New Roman"/>
                <w:color w:val="auto"/>
                <w:sz w:val="20"/>
                <w:szCs w:val="20"/>
              </w:rPr>
              <w:t>18.23</w:t>
            </w:r>
          </w:p>
        </w:tc>
      </w:tr>
    </w:tbl>
    <w:p w14:paraId="09F90111" w14:textId="77777777" w:rsidR="004D01E1" w:rsidRDefault="004D01E1">
      <w:pPr>
        <w:tabs>
          <w:tab w:val="left" w:pos="288"/>
        </w:tabs>
        <w:spacing w:line="240" w:lineRule="auto"/>
        <w:ind w:firstLine="0"/>
        <w:jc w:val="both"/>
        <w:rPr>
          <w:rFonts w:ascii="Times New Roman" w:hAnsi="Times New Roman" w:cs="Times New Roman"/>
          <w:color w:val="auto"/>
          <w:sz w:val="20"/>
          <w:szCs w:val="20"/>
        </w:rPr>
      </w:pPr>
    </w:p>
    <w:p w14:paraId="30AAA3B2" w14:textId="77777777" w:rsidR="004D01E1" w:rsidRDefault="00CB6E26">
      <w:pPr>
        <w:tabs>
          <w:tab w:val="left" w:pos="288"/>
        </w:tabs>
        <w:spacing w:line="240" w:lineRule="auto"/>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ab/>
        <w:t xml:space="preserve">Online administration of SETs in this study was associated with lower response rates, yet it is curious that online courses experienced a 10% increase in response rate when all courses were evaluated with online forms in Year 3. </w:t>
      </w:r>
      <w:r>
        <w:rPr>
          <w:rFonts w:ascii="Times New Roman" w:hAnsi="Times New Roman" w:cs="Times New Roman"/>
          <w:color w:val="auto"/>
          <w:sz w:val="20"/>
          <w:szCs w:val="20"/>
        </w:rPr>
        <w:t xml:space="preserve">Online courses had suffered from chronically low response rates in previous years, when face-to-face classes continued to use paper-based forms. The benefit to response rates observed for online courses when all SET forms were administered online might be </w:t>
      </w:r>
      <w:r>
        <w:rPr>
          <w:rFonts w:ascii="Times New Roman" w:hAnsi="Times New Roman" w:cs="Times New Roman"/>
          <w:color w:val="auto"/>
          <w:sz w:val="20"/>
          <w:szCs w:val="20"/>
        </w:rPr>
        <w:t>attributed to increased communications that encouraged students to complete the online course evaluations. Despite this improvement, response rates for online courses continued to lag behind those for face-to-face courses. Differences in response rates for</w:t>
      </w:r>
      <w:r>
        <w:rPr>
          <w:rFonts w:ascii="Times New Roman" w:hAnsi="Times New Roman" w:cs="Times New Roman"/>
          <w:color w:val="auto"/>
          <w:sz w:val="20"/>
          <w:szCs w:val="20"/>
        </w:rPr>
        <w:t xml:space="preserve"> face-to-face and online courses might be attributed to characteristics of the students who enrolled or to differences in the quality of student engagement created in each learning modality. Avery et al. (2006) found that higher performing students (define</w:t>
      </w:r>
      <w:r>
        <w:rPr>
          <w:rFonts w:ascii="Times New Roman" w:hAnsi="Times New Roman" w:cs="Times New Roman"/>
          <w:color w:val="auto"/>
          <w:sz w:val="20"/>
          <w:szCs w:val="20"/>
        </w:rPr>
        <w:t>d as students with higher GPAs) were more likely to complete online SETs.</w:t>
      </w:r>
    </w:p>
    <w:p w14:paraId="1D56B830" w14:textId="77777777" w:rsidR="004D01E1" w:rsidRDefault="00CB6E26">
      <w:pPr>
        <w:tabs>
          <w:tab w:val="left" w:pos="288"/>
        </w:tabs>
        <w:spacing w:line="240" w:lineRule="auto"/>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ab/>
      </w:r>
    </w:p>
    <w:p w14:paraId="22E4B8B8" w14:textId="77777777" w:rsidR="004D01E1" w:rsidRDefault="00CB6E26">
      <w:pPr>
        <w:ind w:left="720" w:hanging="720"/>
        <w:jc w:val="center"/>
      </w:pPr>
      <w:r>
        <w:rPr>
          <w:rFonts w:ascii="Times New Roman" w:hAnsi="Times New Roman" w:cs="Times New Roman"/>
          <w:noProof/>
          <w:color w:val="auto"/>
          <w:sz w:val="22"/>
          <w:szCs w:val="22"/>
        </w:rPr>
        <w:drawing>
          <wp:inline distT="0" distB="0" distL="0" distR="0" wp14:anchorId="25DFAE60" wp14:editId="11316DFF">
            <wp:extent cx="3860240" cy="2175732"/>
            <wp:effectExtent l="0" t="0" r="6910"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860240" cy="2175732"/>
                    </a:xfrm>
                    <a:prstGeom prst="rect">
                      <a:avLst/>
                    </a:prstGeom>
                    <a:noFill/>
                    <a:ln>
                      <a:noFill/>
                      <a:prstDash/>
                    </a:ln>
                  </pic:spPr>
                </pic:pic>
              </a:graphicData>
            </a:graphic>
          </wp:inline>
        </w:drawing>
      </w:r>
    </w:p>
    <w:p w14:paraId="3B8F35EC" w14:textId="77777777" w:rsidR="004D01E1" w:rsidRDefault="00CB6E26">
      <w:pPr>
        <w:tabs>
          <w:tab w:val="clear" w:pos="3068"/>
        </w:tabs>
        <w:spacing w:line="240" w:lineRule="auto"/>
        <w:ind w:left="720" w:hanging="720"/>
        <w:jc w:val="center"/>
      </w:pPr>
      <w:r>
        <w:rPr>
          <w:rFonts w:ascii="Times New Roman" w:hAnsi="Times New Roman" w:cs="Times New Roman"/>
          <w:b/>
          <w:color w:val="auto"/>
          <w:sz w:val="20"/>
          <w:szCs w:val="20"/>
        </w:rPr>
        <w:t>Figure 1:</w:t>
      </w:r>
      <w:r>
        <w:rPr>
          <w:rFonts w:ascii="Times New Roman" w:hAnsi="Times New Roman" w:cs="Times New Roman"/>
          <w:b/>
          <w:color w:val="auto"/>
          <w:sz w:val="24"/>
          <w:szCs w:val="24"/>
        </w:rPr>
        <w:t xml:space="preserve"> </w:t>
      </w:r>
      <w:r>
        <w:rPr>
          <w:rFonts w:ascii="Times New Roman" w:hAnsi="Times New Roman" w:cs="Times New Roman"/>
          <w:iCs/>
          <w:color w:val="auto"/>
          <w:sz w:val="20"/>
          <w:szCs w:val="20"/>
        </w:rPr>
        <w:t>Scatterplot Depicting the Correlation Between Response Rates and Evaluation Ratings</w:t>
      </w:r>
    </w:p>
    <w:p w14:paraId="001478BA" w14:textId="77777777" w:rsidR="004D01E1" w:rsidRDefault="004D01E1">
      <w:pPr>
        <w:tabs>
          <w:tab w:val="left" w:pos="288"/>
        </w:tabs>
        <w:ind w:firstLine="0"/>
        <w:jc w:val="both"/>
        <w:rPr>
          <w:rFonts w:ascii="Times New Roman" w:hAnsi="Times New Roman" w:cs="Times New Roman"/>
          <w:color w:val="auto"/>
          <w:sz w:val="20"/>
          <w:szCs w:val="20"/>
        </w:rPr>
      </w:pPr>
    </w:p>
    <w:p w14:paraId="2C6830D1" w14:textId="77777777" w:rsidR="004D01E1" w:rsidRDefault="00CB6E26">
      <w:pPr>
        <w:pStyle w:val="ListParagraph"/>
        <w:numPr>
          <w:ilvl w:val="0"/>
          <w:numId w:val="1"/>
        </w:numPr>
        <w:tabs>
          <w:tab w:val="clear" w:pos="3068"/>
        </w:tabs>
        <w:spacing w:before="240" w:after="120" w:line="240" w:lineRule="auto"/>
        <w:ind w:left="274" w:hanging="274"/>
        <w:rPr>
          <w:rFonts w:ascii="Times New Roman" w:hAnsi="Times New Roman" w:cs="Times New Roman"/>
          <w:b/>
          <w:color w:val="auto"/>
          <w:sz w:val="24"/>
          <w:szCs w:val="24"/>
        </w:rPr>
      </w:pPr>
      <w:r>
        <w:rPr>
          <w:rFonts w:ascii="Times New Roman" w:hAnsi="Times New Roman" w:cs="Times New Roman"/>
          <w:b/>
          <w:color w:val="auto"/>
          <w:sz w:val="24"/>
          <w:szCs w:val="24"/>
        </w:rPr>
        <w:t>Conclusion</w:t>
      </w:r>
    </w:p>
    <w:p w14:paraId="34259313" w14:textId="77777777" w:rsidR="004D01E1" w:rsidRDefault="00CB6E26">
      <w:pPr>
        <w:tabs>
          <w:tab w:val="clear" w:pos="3068"/>
          <w:tab w:val="left" w:pos="288"/>
          <w:tab w:val="left" w:pos="3060"/>
        </w:tabs>
        <w:spacing w:line="240" w:lineRule="auto"/>
        <w:ind w:firstLine="0"/>
        <w:jc w:val="both"/>
        <w:rPr>
          <w:rFonts w:ascii="Times New Roman" w:hAnsi="Times New Roman" w:cs="Times New Roman"/>
          <w:color w:val="auto"/>
          <w:sz w:val="20"/>
          <w:szCs w:val="20"/>
        </w:rPr>
      </w:pPr>
      <w:r>
        <w:rPr>
          <w:rFonts w:ascii="Times New Roman" w:hAnsi="Times New Roman" w:cs="Times New Roman"/>
          <w:color w:val="auto"/>
          <w:sz w:val="20"/>
          <w:szCs w:val="20"/>
        </w:rPr>
        <w:tab/>
        <w:t xml:space="preserve">Psychology has a long history of devising creative strategies to </w:t>
      </w:r>
      <w:r>
        <w:rPr>
          <w:rFonts w:ascii="Times New Roman" w:hAnsi="Times New Roman" w:cs="Times New Roman"/>
          <w:color w:val="auto"/>
          <w:sz w:val="20"/>
          <w:szCs w:val="20"/>
        </w:rPr>
        <w:t>measure the “unmeasurable,” whether the targeted variable is a mental process, an attitude, or the quality of teaching (e.g., Webb et al., 1966). In addition, psychologists have documented various heuristics and biases that contribute to the misinterpretat</w:t>
      </w:r>
      <w:r>
        <w:rPr>
          <w:rFonts w:ascii="Times New Roman" w:hAnsi="Times New Roman" w:cs="Times New Roman"/>
          <w:color w:val="auto"/>
          <w:sz w:val="20"/>
          <w:szCs w:val="20"/>
        </w:rPr>
        <w:t>ion of quantitative data (Gilovich et al., 2002), including SET scores (Boysen, 2015a, 2015b; Boysen et al., 2014). These skills enable psychologists to offer multiple solutions to the challenge posed by the need to objectively evaluate the quality of teac</w:t>
      </w:r>
      <w:r>
        <w:rPr>
          <w:rFonts w:ascii="Times New Roman" w:hAnsi="Times New Roman" w:cs="Times New Roman"/>
          <w:color w:val="auto"/>
          <w:sz w:val="20"/>
          <w:szCs w:val="20"/>
        </w:rPr>
        <w:t>hing and the impact of teaching on student learning.</w:t>
      </w:r>
    </w:p>
    <w:p w14:paraId="20881C84" w14:textId="77777777" w:rsidR="004D01E1" w:rsidRDefault="00CB6E26">
      <w:pPr>
        <w:spacing w:line="240" w:lineRule="auto"/>
        <w:ind w:firstLine="288"/>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Online administration of SET forms presents multiple desirable features, including rapid feedback to instructors, economy, and support for environmental sustainability. However, institutions should adopt</w:t>
      </w:r>
      <w:r>
        <w:rPr>
          <w:rFonts w:ascii="Times New Roman" w:hAnsi="Times New Roman" w:cs="Times New Roman"/>
          <w:color w:val="auto"/>
          <w:sz w:val="20"/>
          <w:szCs w:val="20"/>
        </w:rPr>
        <w:t xml:space="preserve"> implementation procedures that do not undermine the usefulness of the data gathered. Moreover, institutions should be wary of emphasizing procedures that produce high response rates only to lull faculty into believing that SET data can be the primary (or </w:t>
      </w:r>
      <w:r>
        <w:rPr>
          <w:rFonts w:ascii="Times New Roman" w:hAnsi="Times New Roman" w:cs="Times New Roman"/>
          <w:color w:val="auto"/>
          <w:sz w:val="20"/>
          <w:szCs w:val="20"/>
        </w:rPr>
        <w:t>only) metric used for high-stakes decisions about the quality of faculty teaching. Instead, decision makers should expect to use multiple measures to evaluate the quality of faculty teaching.</w:t>
      </w:r>
    </w:p>
    <w:p w14:paraId="20BABAEA" w14:textId="77777777" w:rsidR="004D01E1" w:rsidRDefault="004D01E1">
      <w:pPr>
        <w:tabs>
          <w:tab w:val="clear" w:pos="3068"/>
        </w:tabs>
        <w:ind w:firstLine="0"/>
        <w:rPr>
          <w:rFonts w:ascii="Times New Roman" w:hAnsi="Times New Roman" w:cs="Times New Roman"/>
          <w:color w:val="auto"/>
          <w:sz w:val="22"/>
          <w:szCs w:val="22"/>
        </w:rPr>
      </w:pPr>
    </w:p>
    <w:p w14:paraId="36A15702" w14:textId="77777777" w:rsidR="004D01E1" w:rsidRDefault="00CB6E26">
      <w:pPr>
        <w:tabs>
          <w:tab w:val="clear" w:pos="3068"/>
        </w:tabs>
        <w:autoSpaceDE w:val="0"/>
        <w:spacing w:after="240" w:line="240" w:lineRule="auto"/>
        <w:ind w:firstLine="0"/>
        <w:rPr>
          <w:rFonts w:ascii="Times New Roman" w:hAnsi="Times New Roman" w:cs="Times New Roman"/>
          <w:b/>
          <w:color w:val="auto"/>
          <w:sz w:val="24"/>
          <w:szCs w:val="24"/>
        </w:rPr>
      </w:pPr>
      <w:r>
        <w:rPr>
          <w:rFonts w:ascii="Times New Roman" w:hAnsi="Times New Roman" w:cs="Times New Roman"/>
          <w:b/>
          <w:color w:val="auto"/>
          <w:sz w:val="24"/>
          <w:szCs w:val="24"/>
        </w:rPr>
        <w:t>Acknowledgment</w:t>
      </w:r>
    </w:p>
    <w:p w14:paraId="6693C3D0" w14:textId="77777777" w:rsidR="004D01E1" w:rsidRDefault="00CB6E26">
      <w:pPr>
        <w:tabs>
          <w:tab w:val="clear" w:pos="3068"/>
        </w:tabs>
        <w:autoSpaceDE w:val="0"/>
        <w:spacing w:line="240" w:lineRule="auto"/>
        <w:ind w:firstLine="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The research leading to these results has </w:t>
      </w:r>
      <w:r>
        <w:rPr>
          <w:rFonts w:ascii="Times New Roman" w:hAnsi="Times New Roman" w:cs="Times New Roman"/>
          <w:color w:val="auto"/>
          <w:sz w:val="20"/>
          <w:szCs w:val="20"/>
        </w:rPr>
        <w:t xml:space="preserve">received Research Project Grant Funding from the </w:t>
      </w:r>
      <w:proofErr w:type="spellStart"/>
      <w:r>
        <w:rPr>
          <w:rFonts w:ascii="Times New Roman" w:hAnsi="Times New Roman" w:cs="Times New Roman"/>
          <w:color w:val="auto"/>
          <w:sz w:val="20"/>
          <w:szCs w:val="20"/>
        </w:rPr>
        <w:t>xxxxxx</w:t>
      </w:r>
      <w:proofErr w:type="spellEnd"/>
      <w:r>
        <w:rPr>
          <w:rFonts w:ascii="Times New Roman" w:hAnsi="Times New Roman" w:cs="Times New Roman"/>
          <w:color w:val="auto"/>
          <w:sz w:val="20"/>
          <w:szCs w:val="20"/>
        </w:rPr>
        <w:t xml:space="preserve">, Research Grant Agreement No. GRANT AA E2 /01010. The authors would like to acknowledge support from the </w:t>
      </w:r>
      <w:proofErr w:type="spellStart"/>
      <w:r>
        <w:rPr>
          <w:rFonts w:ascii="Times New Roman" w:hAnsi="Times New Roman" w:cs="Times New Roman"/>
          <w:color w:val="auto"/>
          <w:sz w:val="20"/>
          <w:szCs w:val="20"/>
        </w:rPr>
        <w:t>xxxxxx</w:t>
      </w:r>
      <w:proofErr w:type="spellEnd"/>
      <w:r>
        <w:rPr>
          <w:rFonts w:ascii="Times New Roman" w:hAnsi="Times New Roman" w:cs="Times New Roman"/>
          <w:color w:val="auto"/>
          <w:sz w:val="20"/>
          <w:szCs w:val="20"/>
        </w:rPr>
        <w:t xml:space="preserve">. </w:t>
      </w:r>
    </w:p>
    <w:p w14:paraId="4DCBE578" w14:textId="77777777" w:rsidR="004D01E1" w:rsidRDefault="00CB6E26">
      <w:pPr>
        <w:tabs>
          <w:tab w:val="clear" w:pos="3068"/>
        </w:tabs>
        <w:autoSpaceDE w:val="0"/>
        <w:spacing w:line="240" w:lineRule="auto"/>
        <w:ind w:firstLine="284"/>
        <w:jc w:val="both"/>
        <w:rPr>
          <w:rFonts w:ascii="Times New Roman" w:hAnsi="Times New Roman" w:cs="Times New Roman"/>
          <w:color w:val="auto"/>
          <w:sz w:val="20"/>
          <w:szCs w:val="20"/>
        </w:rPr>
      </w:pPr>
      <w:r>
        <w:rPr>
          <w:rFonts w:ascii="Times New Roman" w:hAnsi="Times New Roman" w:cs="Times New Roman"/>
          <w:color w:val="auto"/>
          <w:sz w:val="20"/>
          <w:szCs w:val="20"/>
        </w:rPr>
        <w:t>Or The research leading to these results has received no Research Grant Funding.</w:t>
      </w:r>
    </w:p>
    <w:p w14:paraId="222EFD72" w14:textId="77777777" w:rsidR="004D01E1" w:rsidRDefault="004D01E1">
      <w:pPr>
        <w:pStyle w:val="BodyText"/>
        <w:spacing w:after="0" w:line="240" w:lineRule="auto"/>
        <w:ind w:firstLine="0"/>
        <w:rPr>
          <w:rFonts w:eastAsia="Calibri"/>
          <w:b/>
          <w:spacing w:val="0"/>
          <w:sz w:val="24"/>
          <w:szCs w:val="24"/>
          <w:shd w:val="clear" w:color="auto" w:fill="FFFFFF"/>
        </w:rPr>
      </w:pPr>
    </w:p>
    <w:p w14:paraId="7FBDB183" w14:textId="77777777" w:rsidR="004D01E1" w:rsidRDefault="00CB6E26">
      <w:pPr>
        <w:pStyle w:val="BodyText"/>
        <w:spacing w:after="0" w:line="240" w:lineRule="auto"/>
        <w:ind w:firstLine="0"/>
      </w:pPr>
      <w:r>
        <w:rPr>
          <w:rFonts w:eastAsia="Calibri"/>
          <w:b/>
          <w:spacing w:val="0"/>
          <w:sz w:val="24"/>
          <w:szCs w:val="24"/>
          <w:shd w:val="clear" w:color="auto" w:fill="FFFFFF"/>
        </w:rPr>
        <w:t>Auth</w:t>
      </w:r>
      <w:r>
        <w:rPr>
          <w:rFonts w:eastAsia="Calibri"/>
          <w:b/>
          <w:spacing w:val="0"/>
          <w:sz w:val="24"/>
          <w:szCs w:val="24"/>
          <w:shd w:val="clear" w:color="auto" w:fill="FFFFFF"/>
        </w:rPr>
        <w:t xml:space="preserve">or contribution: </w:t>
      </w:r>
      <w:r>
        <w:t>All authors have contributed, read, and agreed to the published version of the manuscript results.</w:t>
      </w:r>
    </w:p>
    <w:p w14:paraId="2B4FEA26" w14:textId="77777777" w:rsidR="004D01E1" w:rsidRDefault="00CB6E26">
      <w:pPr>
        <w:pStyle w:val="BodyText"/>
        <w:spacing w:after="0" w:line="240" w:lineRule="auto"/>
        <w:ind w:firstLine="0"/>
      </w:pPr>
      <w:r>
        <w:t xml:space="preserve"> </w:t>
      </w:r>
    </w:p>
    <w:p w14:paraId="33D67B83" w14:textId="77777777" w:rsidR="004D01E1" w:rsidRDefault="00CB6E26">
      <w:pPr>
        <w:pStyle w:val="BodyText"/>
        <w:spacing w:after="0" w:line="240" w:lineRule="auto"/>
        <w:ind w:firstLine="0"/>
      </w:pPr>
      <w:r>
        <w:rPr>
          <w:b/>
          <w:bCs/>
          <w:sz w:val="24"/>
          <w:szCs w:val="24"/>
        </w:rPr>
        <w:t xml:space="preserve">Conflict of interest: </w:t>
      </w:r>
      <w:r>
        <w:rPr>
          <w:b/>
        </w:rPr>
        <w:t xml:space="preserve"> </w:t>
      </w:r>
      <w:r>
        <w:t>The authors declare no conflict of interest.</w:t>
      </w:r>
    </w:p>
    <w:p w14:paraId="464D23E9" w14:textId="77777777" w:rsidR="004D01E1" w:rsidRDefault="004D01E1">
      <w:pPr>
        <w:tabs>
          <w:tab w:val="clear" w:pos="3068"/>
        </w:tabs>
        <w:ind w:firstLine="0"/>
        <w:rPr>
          <w:rFonts w:ascii="Times New Roman" w:hAnsi="Times New Roman" w:cs="Times New Roman"/>
          <w:color w:val="auto"/>
          <w:sz w:val="22"/>
          <w:szCs w:val="22"/>
        </w:rPr>
      </w:pPr>
    </w:p>
    <w:p w14:paraId="18677AE3" w14:textId="77777777" w:rsidR="004D01E1" w:rsidRDefault="00CB6E26">
      <w:pPr>
        <w:spacing w:before="240" w:after="120" w:line="240" w:lineRule="auto"/>
        <w:ind w:firstLine="0"/>
        <w:rPr>
          <w:rFonts w:ascii="Times New Roman" w:hAnsi="Times New Roman" w:cs="Times New Roman"/>
          <w:b/>
          <w:color w:val="auto"/>
          <w:sz w:val="24"/>
          <w:szCs w:val="24"/>
        </w:rPr>
      </w:pPr>
      <w:r>
        <w:rPr>
          <w:rFonts w:ascii="Times New Roman" w:hAnsi="Times New Roman" w:cs="Times New Roman"/>
          <w:b/>
          <w:color w:val="auto"/>
          <w:sz w:val="24"/>
          <w:szCs w:val="24"/>
        </w:rPr>
        <w:t>References (APA style 7th Edition).</w:t>
      </w:r>
    </w:p>
    <w:p w14:paraId="54E216C1" w14:textId="77777777" w:rsidR="004D01E1" w:rsidRDefault="00CB6E26">
      <w:pPr>
        <w:pStyle w:val="ListParagraph"/>
        <w:numPr>
          <w:ilvl w:val="0"/>
          <w:numId w:val="2"/>
        </w:numPr>
        <w:tabs>
          <w:tab w:val="clear" w:pos="3068"/>
          <w:tab w:val="left" w:pos="360"/>
        </w:tabs>
        <w:spacing w:after="120" w:line="240" w:lineRule="auto"/>
        <w:jc w:val="both"/>
        <w:rPr>
          <w:rFonts w:ascii="Times New Roman" w:hAnsi="Times New Roman" w:cs="Times New Roman"/>
          <w:color w:val="222222"/>
          <w:sz w:val="18"/>
          <w:szCs w:val="18"/>
        </w:rPr>
      </w:pPr>
      <w:r>
        <w:rPr>
          <w:rFonts w:ascii="Times New Roman" w:hAnsi="Times New Roman" w:cs="Times New Roman"/>
          <w:color w:val="222222"/>
          <w:sz w:val="18"/>
          <w:szCs w:val="18"/>
        </w:rPr>
        <w:t>Al-</w:t>
      </w:r>
      <w:proofErr w:type="spellStart"/>
      <w:r>
        <w:rPr>
          <w:rFonts w:ascii="Times New Roman" w:hAnsi="Times New Roman" w:cs="Times New Roman"/>
          <w:color w:val="222222"/>
          <w:sz w:val="18"/>
          <w:szCs w:val="18"/>
        </w:rPr>
        <w:t>Hatmi</w:t>
      </w:r>
      <w:proofErr w:type="spellEnd"/>
      <w:r>
        <w:rPr>
          <w:rFonts w:ascii="Times New Roman" w:hAnsi="Times New Roman" w:cs="Times New Roman"/>
          <w:color w:val="222222"/>
          <w:sz w:val="18"/>
          <w:szCs w:val="18"/>
        </w:rPr>
        <w:t xml:space="preserve">, M. O., &amp; Yousif, J. H. </w:t>
      </w:r>
      <w:r>
        <w:rPr>
          <w:rFonts w:ascii="Times New Roman" w:hAnsi="Times New Roman" w:cs="Times New Roman"/>
          <w:color w:val="222222"/>
          <w:sz w:val="18"/>
          <w:szCs w:val="18"/>
        </w:rPr>
        <w:t xml:space="preserve">(2017). A review of Image Enhancement Systems and a case study of Salt &amp;pepper noise removing. International Journal of Computation and Applied Sciences (IJOCAAS), 2(3), 171-176. </w:t>
      </w:r>
    </w:p>
    <w:p w14:paraId="008FBE1D" w14:textId="77777777" w:rsidR="004D01E1" w:rsidRDefault="00CB6E26">
      <w:pPr>
        <w:pStyle w:val="ListParagraph"/>
        <w:numPr>
          <w:ilvl w:val="0"/>
          <w:numId w:val="2"/>
        </w:numPr>
        <w:tabs>
          <w:tab w:val="clear" w:pos="3068"/>
          <w:tab w:val="left" w:pos="360"/>
        </w:tabs>
        <w:spacing w:after="120" w:line="240" w:lineRule="auto"/>
        <w:jc w:val="both"/>
        <w:rPr>
          <w:rFonts w:ascii="Times New Roman" w:hAnsi="Times New Roman" w:cs="Times New Roman"/>
          <w:color w:val="222222"/>
          <w:sz w:val="18"/>
          <w:szCs w:val="18"/>
        </w:rPr>
      </w:pPr>
      <w:proofErr w:type="spellStart"/>
      <w:r>
        <w:rPr>
          <w:rFonts w:ascii="Times New Roman" w:hAnsi="Times New Roman" w:cs="Times New Roman"/>
          <w:color w:val="222222"/>
          <w:sz w:val="18"/>
          <w:szCs w:val="18"/>
        </w:rPr>
        <w:t>Alighaleh</w:t>
      </w:r>
      <w:proofErr w:type="spellEnd"/>
      <w:r>
        <w:rPr>
          <w:rFonts w:ascii="Times New Roman" w:hAnsi="Times New Roman" w:cs="Times New Roman"/>
          <w:color w:val="222222"/>
          <w:sz w:val="18"/>
          <w:szCs w:val="18"/>
        </w:rPr>
        <w:t xml:space="preserve">, P., </w:t>
      </w:r>
      <w:proofErr w:type="spellStart"/>
      <w:r>
        <w:rPr>
          <w:rFonts w:ascii="Times New Roman" w:hAnsi="Times New Roman" w:cs="Times New Roman"/>
          <w:color w:val="222222"/>
          <w:sz w:val="18"/>
          <w:szCs w:val="18"/>
        </w:rPr>
        <w:t>Khosravi</w:t>
      </w:r>
      <w:proofErr w:type="spellEnd"/>
      <w:r>
        <w:rPr>
          <w:rFonts w:ascii="Times New Roman" w:hAnsi="Times New Roman" w:cs="Times New Roman"/>
          <w:color w:val="222222"/>
          <w:sz w:val="18"/>
          <w:szCs w:val="18"/>
        </w:rPr>
        <w:t xml:space="preserve">, H., </w:t>
      </w:r>
      <w:proofErr w:type="spellStart"/>
      <w:r>
        <w:rPr>
          <w:rFonts w:ascii="Times New Roman" w:hAnsi="Times New Roman" w:cs="Times New Roman"/>
          <w:color w:val="222222"/>
          <w:sz w:val="18"/>
          <w:szCs w:val="18"/>
        </w:rPr>
        <w:t>Rohani</w:t>
      </w:r>
      <w:proofErr w:type="spellEnd"/>
      <w:r>
        <w:rPr>
          <w:rFonts w:ascii="Times New Roman" w:hAnsi="Times New Roman" w:cs="Times New Roman"/>
          <w:color w:val="222222"/>
          <w:sz w:val="18"/>
          <w:szCs w:val="18"/>
        </w:rPr>
        <w:t xml:space="preserve">, A., </w:t>
      </w:r>
      <w:proofErr w:type="spellStart"/>
      <w:r>
        <w:rPr>
          <w:rFonts w:ascii="Times New Roman" w:hAnsi="Times New Roman" w:cs="Times New Roman"/>
          <w:color w:val="222222"/>
          <w:sz w:val="18"/>
          <w:szCs w:val="18"/>
        </w:rPr>
        <w:t>Saeidirad</w:t>
      </w:r>
      <w:proofErr w:type="spellEnd"/>
      <w:r>
        <w:rPr>
          <w:rFonts w:ascii="Times New Roman" w:hAnsi="Times New Roman" w:cs="Times New Roman"/>
          <w:color w:val="222222"/>
          <w:sz w:val="18"/>
          <w:szCs w:val="18"/>
        </w:rPr>
        <w:t xml:space="preserve">, M. H., &amp; </w:t>
      </w:r>
      <w:proofErr w:type="spellStart"/>
      <w:r>
        <w:rPr>
          <w:rFonts w:ascii="Times New Roman" w:hAnsi="Times New Roman" w:cs="Times New Roman"/>
          <w:color w:val="222222"/>
          <w:sz w:val="18"/>
          <w:szCs w:val="18"/>
        </w:rPr>
        <w:t>Einafshar</w:t>
      </w:r>
      <w:proofErr w:type="spellEnd"/>
      <w:r>
        <w:rPr>
          <w:rFonts w:ascii="Times New Roman" w:hAnsi="Times New Roman" w:cs="Times New Roman"/>
          <w:color w:val="222222"/>
          <w:sz w:val="18"/>
          <w:szCs w:val="18"/>
        </w:rPr>
        <w:t>, S. (</w:t>
      </w:r>
      <w:r>
        <w:rPr>
          <w:rFonts w:ascii="Times New Roman" w:hAnsi="Times New Roman" w:cs="Times New Roman"/>
          <w:color w:val="222222"/>
          <w:sz w:val="18"/>
          <w:szCs w:val="18"/>
        </w:rPr>
        <w:t>2022). The detection of saffron adulterants using a deep neural network approach based on RGB images taken under uncontrolled conditions. Expert Systems with Applications, 198, 116890.</w:t>
      </w:r>
    </w:p>
    <w:p w14:paraId="257D0367" w14:textId="77777777" w:rsidR="004D01E1" w:rsidRDefault="00CB6E26">
      <w:pPr>
        <w:pStyle w:val="ListParagraph"/>
        <w:numPr>
          <w:ilvl w:val="0"/>
          <w:numId w:val="2"/>
        </w:numPr>
        <w:tabs>
          <w:tab w:val="clear" w:pos="3068"/>
          <w:tab w:val="left" w:pos="360"/>
        </w:tabs>
        <w:spacing w:after="120" w:line="240" w:lineRule="auto"/>
        <w:jc w:val="both"/>
        <w:rPr>
          <w:rFonts w:ascii="Times New Roman" w:hAnsi="Times New Roman" w:cs="Times New Roman"/>
          <w:color w:val="222222"/>
          <w:sz w:val="18"/>
          <w:szCs w:val="18"/>
        </w:rPr>
      </w:pPr>
      <w:proofErr w:type="spellStart"/>
      <w:r>
        <w:rPr>
          <w:rFonts w:ascii="Times New Roman" w:hAnsi="Times New Roman" w:cs="Times New Roman"/>
          <w:color w:val="222222"/>
          <w:sz w:val="18"/>
          <w:szCs w:val="18"/>
        </w:rPr>
        <w:t>Alkishri</w:t>
      </w:r>
      <w:proofErr w:type="spellEnd"/>
      <w:r>
        <w:rPr>
          <w:rFonts w:ascii="Times New Roman" w:hAnsi="Times New Roman" w:cs="Times New Roman"/>
          <w:color w:val="222222"/>
          <w:sz w:val="18"/>
          <w:szCs w:val="18"/>
        </w:rPr>
        <w:t xml:space="preserve">, W., </w:t>
      </w:r>
      <w:proofErr w:type="spellStart"/>
      <w:r>
        <w:rPr>
          <w:rFonts w:ascii="Times New Roman" w:hAnsi="Times New Roman" w:cs="Times New Roman"/>
          <w:color w:val="222222"/>
          <w:sz w:val="18"/>
          <w:szCs w:val="18"/>
        </w:rPr>
        <w:t>Widyarto</w:t>
      </w:r>
      <w:proofErr w:type="spellEnd"/>
      <w:r>
        <w:rPr>
          <w:rFonts w:ascii="Times New Roman" w:hAnsi="Times New Roman" w:cs="Times New Roman"/>
          <w:color w:val="222222"/>
          <w:sz w:val="18"/>
          <w:szCs w:val="18"/>
        </w:rPr>
        <w:t xml:space="preserve">, S., Yousif, J. H., &amp; Al-Bahri, M. (2023). Fake </w:t>
      </w:r>
      <w:r>
        <w:rPr>
          <w:rFonts w:ascii="Times New Roman" w:hAnsi="Times New Roman" w:cs="Times New Roman"/>
          <w:color w:val="222222"/>
          <w:sz w:val="18"/>
          <w:szCs w:val="18"/>
        </w:rPr>
        <w:t xml:space="preserve">Face Detection Based on </w:t>
      </w:r>
      <w:proofErr w:type="spellStart"/>
      <w:r>
        <w:rPr>
          <w:rFonts w:ascii="Times New Roman" w:hAnsi="Times New Roman" w:cs="Times New Roman"/>
          <w:color w:val="222222"/>
          <w:sz w:val="18"/>
          <w:szCs w:val="18"/>
        </w:rPr>
        <w:t>Colour</w:t>
      </w:r>
      <w:proofErr w:type="spellEnd"/>
      <w:r>
        <w:rPr>
          <w:rFonts w:ascii="Times New Roman" w:hAnsi="Times New Roman" w:cs="Times New Roman"/>
          <w:color w:val="222222"/>
          <w:sz w:val="18"/>
          <w:szCs w:val="18"/>
        </w:rPr>
        <w:t xml:space="preserve"> Textual Analysis Using Deep Convolutional Neural Network. Journal of Internet Services and Information Security (JISIS), 13(3), DOI: 10.58346/</w:t>
      </w:r>
      <w:proofErr w:type="gramStart"/>
      <w:r>
        <w:rPr>
          <w:rFonts w:ascii="Times New Roman" w:hAnsi="Times New Roman" w:cs="Times New Roman"/>
          <w:color w:val="222222"/>
          <w:sz w:val="18"/>
          <w:szCs w:val="18"/>
        </w:rPr>
        <w:t>JISIS.2023.I</w:t>
      </w:r>
      <w:proofErr w:type="gramEnd"/>
      <w:r>
        <w:rPr>
          <w:rFonts w:ascii="Times New Roman" w:hAnsi="Times New Roman" w:cs="Times New Roman"/>
          <w:color w:val="222222"/>
          <w:sz w:val="18"/>
          <w:szCs w:val="18"/>
        </w:rPr>
        <w:t>3.009.</w:t>
      </w:r>
    </w:p>
    <w:p w14:paraId="47F847FB" w14:textId="77777777" w:rsidR="004D01E1" w:rsidRDefault="00CB6E26">
      <w:pPr>
        <w:pStyle w:val="ListParagraph"/>
        <w:numPr>
          <w:ilvl w:val="0"/>
          <w:numId w:val="2"/>
        </w:numPr>
        <w:tabs>
          <w:tab w:val="clear" w:pos="3068"/>
          <w:tab w:val="left" w:pos="360"/>
        </w:tabs>
        <w:spacing w:after="120" w:line="240" w:lineRule="auto"/>
        <w:jc w:val="both"/>
        <w:rPr>
          <w:rFonts w:ascii="Times New Roman" w:hAnsi="Times New Roman" w:cs="Times New Roman"/>
          <w:color w:val="222222"/>
          <w:sz w:val="18"/>
          <w:szCs w:val="18"/>
        </w:rPr>
      </w:pPr>
      <w:proofErr w:type="spellStart"/>
      <w:r>
        <w:rPr>
          <w:rFonts w:ascii="Times New Roman" w:hAnsi="Times New Roman" w:cs="Times New Roman"/>
          <w:color w:val="222222"/>
          <w:sz w:val="18"/>
          <w:szCs w:val="18"/>
        </w:rPr>
        <w:t>Atomi</w:t>
      </w:r>
      <w:proofErr w:type="spellEnd"/>
      <w:r>
        <w:rPr>
          <w:rFonts w:ascii="Times New Roman" w:hAnsi="Times New Roman" w:cs="Times New Roman"/>
          <w:color w:val="222222"/>
          <w:sz w:val="18"/>
          <w:szCs w:val="18"/>
        </w:rPr>
        <w:t xml:space="preserve">, W. H. (2012). The effect of data </w:t>
      </w:r>
      <w:r>
        <w:rPr>
          <w:rFonts w:ascii="Times New Roman" w:hAnsi="Times New Roman" w:cs="Times New Roman"/>
          <w:color w:val="222222"/>
          <w:sz w:val="18"/>
          <w:szCs w:val="18"/>
        </w:rPr>
        <w:t xml:space="preserve">preprocessing on the performance of artificial neural networks techniques for classification problems (Doctoral dissertation, </w:t>
      </w:r>
      <w:proofErr w:type="spellStart"/>
      <w:r>
        <w:rPr>
          <w:rFonts w:ascii="Times New Roman" w:hAnsi="Times New Roman" w:cs="Times New Roman"/>
          <w:color w:val="222222"/>
          <w:sz w:val="18"/>
          <w:szCs w:val="18"/>
        </w:rPr>
        <w:t>Universiti</w:t>
      </w:r>
      <w:proofErr w:type="spellEnd"/>
      <w:r>
        <w:rPr>
          <w:rFonts w:ascii="Times New Roman" w:hAnsi="Times New Roman" w:cs="Times New Roman"/>
          <w:color w:val="222222"/>
          <w:sz w:val="18"/>
          <w:szCs w:val="18"/>
        </w:rPr>
        <w:t xml:space="preserve"> Tun Hussein Onn Malaysia).</w:t>
      </w:r>
    </w:p>
    <w:p w14:paraId="1AEE4B0E" w14:textId="77777777" w:rsidR="004D01E1" w:rsidRDefault="00CB6E26">
      <w:pPr>
        <w:pStyle w:val="ListParagraph"/>
        <w:numPr>
          <w:ilvl w:val="0"/>
          <w:numId w:val="2"/>
        </w:numPr>
        <w:tabs>
          <w:tab w:val="clear" w:pos="3068"/>
          <w:tab w:val="left" w:pos="360"/>
        </w:tabs>
        <w:spacing w:after="120" w:line="240" w:lineRule="auto"/>
        <w:jc w:val="both"/>
        <w:rPr>
          <w:rFonts w:ascii="Times New Roman" w:hAnsi="Times New Roman" w:cs="Times New Roman"/>
          <w:color w:val="222222"/>
          <w:sz w:val="18"/>
          <w:szCs w:val="18"/>
        </w:rPr>
      </w:pPr>
      <w:r>
        <w:rPr>
          <w:rFonts w:ascii="Times New Roman" w:hAnsi="Times New Roman" w:cs="Times New Roman"/>
          <w:color w:val="222222"/>
          <w:sz w:val="18"/>
          <w:szCs w:val="18"/>
        </w:rPr>
        <w:t xml:space="preserve">Calderon, S., </w:t>
      </w:r>
      <w:proofErr w:type="spellStart"/>
      <w:r>
        <w:rPr>
          <w:rFonts w:ascii="Times New Roman" w:hAnsi="Times New Roman" w:cs="Times New Roman"/>
          <w:color w:val="222222"/>
          <w:sz w:val="18"/>
          <w:szCs w:val="18"/>
        </w:rPr>
        <w:t>Fallas</w:t>
      </w:r>
      <w:proofErr w:type="spellEnd"/>
      <w:r>
        <w:rPr>
          <w:rFonts w:ascii="Times New Roman" w:hAnsi="Times New Roman" w:cs="Times New Roman"/>
          <w:color w:val="222222"/>
          <w:sz w:val="18"/>
          <w:szCs w:val="18"/>
        </w:rPr>
        <w:t xml:space="preserve">, F., </w:t>
      </w:r>
      <w:proofErr w:type="spellStart"/>
      <w:r>
        <w:rPr>
          <w:rFonts w:ascii="Times New Roman" w:hAnsi="Times New Roman" w:cs="Times New Roman"/>
          <w:color w:val="222222"/>
          <w:sz w:val="18"/>
          <w:szCs w:val="18"/>
        </w:rPr>
        <w:t>Zumbado</w:t>
      </w:r>
      <w:proofErr w:type="spellEnd"/>
      <w:r>
        <w:rPr>
          <w:rFonts w:ascii="Times New Roman" w:hAnsi="Times New Roman" w:cs="Times New Roman"/>
          <w:color w:val="222222"/>
          <w:sz w:val="18"/>
          <w:szCs w:val="18"/>
        </w:rPr>
        <w:t xml:space="preserve">, M., Tyrrell, P. N., Stark, H., </w:t>
      </w:r>
      <w:proofErr w:type="spellStart"/>
      <w:r>
        <w:rPr>
          <w:rFonts w:ascii="Times New Roman" w:hAnsi="Times New Roman" w:cs="Times New Roman"/>
          <w:color w:val="222222"/>
          <w:sz w:val="18"/>
          <w:szCs w:val="18"/>
        </w:rPr>
        <w:t>Emersic</w:t>
      </w:r>
      <w:proofErr w:type="spellEnd"/>
      <w:r>
        <w:rPr>
          <w:rFonts w:ascii="Times New Roman" w:hAnsi="Times New Roman" w:cs="Times New Roman"/>
          <w:color w:val="222222"/>
          <w:sz w:val="18"/>
          <w:szCs w:val="18"/>
        </w:rPr>
        <w:t xml:space="preserve">, Z., ... &amp; </w:t>
      </w:r>
      <w:r>
        <w:rPr>
          <w:rFonts w:ascii="Times New Roman" w:hAnsi="Times New Roman" w:cs="Times New Roman"/>
          <w:color w:val="222222"/>
          <w:sz w:val="18"/>
          <w:szCs w:val="18"/>
        </w:rPr>
        <w:t xml:space="preserve">Solis, M. (2018, October). Assessing the impact of the deceived non local means filter as a preprocessing stage in a convolutional neural </w:t>
      </w:r>
      <w:proofErr w:type="gramStart"/>
      <w:r>
        <w:rPr>
          <w:rFonts w:ascii="Times New Roman" w:hAnsi="Times New Roman" w:cs="Times New Roman"/>
          <w:color w:val="222222"/>
          <w:sz w:val="18"/>
          <w:szCs w:val="18"/>
        </w:rPr>
        <w:t>network based</w:t>
      </w:r>
      <w:proofErr w:type="gramEnd"/>
      <w:r>
        <w:rPr>
          <w:rFonts w:ascii="Times New Roman" w:hAnsi="Times New Roman" w:cs="Times New Roman"/>
          <w:color w:val="222222"/>
          <w:sz w:val="18"/>
          <w:szCs w:val="18"/>
        </w:rPr>
        <w:t xml:space="preserve"> approach for age estimation using digital hand x-ray images. In 2018 25th IEEE International Conference </w:t>
      </w:r>
      <w:r>
        <w:rPr>
          <w:rFonts w:ascii="Times New Roman" w:hAnsi="Times New Roman" w:cs="Times New Roman"/>
          <w:color w:val="222222"/>
          <w:sz w:val="18"/>
          <w:szCs w:val="18"/>
        </w:rPr>
        <w:t>on Image Processing (ICIP) (pp. 1752-1756). IEEE.</w:t>
      </w:r>
    </w:p>
    <w:p w14:paraId="42C2123B" w14:textId="77777777" w:rsidR="004D01E1" w:rsidRDefault="004D01E1">
      <w:pPr>
        <w:pStyle w:val="ListParagraph"/>
        <w:tabs>
          <w:tab w:val="clear" w:pos="3068"/>
          <w:tab w:val="left" w:pos="0"/>
        </w:tabs>
        <w:spacing w:after="120" w:line="240" w:lineRule="auto"/>
        <w:ind w:left="360" w:firstLine="0"/>
        <w:jc w:val="both"/>
        <w:rPr>
          <w:rFonts w:ascii="Times New Roman" w:hAnsi="Times New Roman" w:cs="Times New Roman"/>
          <w:color w:val="222222"/>
          <w:sz w:val="18"/>
          <w:szCs w:val="18"/>
        </w:rPr>
      </w:pPr>
    </w:p>
    <w:p w14:paraId="2A42397A" w14:textId="77777777" w:rsidR="004D01E1" w:rsidRDefault="004D01E1">
      <w:pPr>
        <w:pStyle w:val="ListParagraph"/>
        <w:tabs>
          <w:tab w:val="clear" w:pos="3068"/>
          <w:tab w:val="left" w:pos="0"/>
        </w:tabs>
        <w:spacing w:after="120" w:line="240" w:lineRule="auto"/>
        <w:ind w:left="360" w:firstLine="0"/>
        <w:jc w:val="both"/>
        <w:rPr>
          <w:rFonts w:ascii="Times New Roman" w:hAnsi="Times New Roman" w:cs="Times New Roman"/>
          <w:color w:val="222222"/>
          <w:sz w:val="18"/>
          <w:szCs w:val="18"/>
        </w:rPr>
      </w:pPr>
    </w:p>
    <w:p w14:paraId="49A3C135" w14:textId="77777777" w:rsidR="004D01E1" w:rsidRDefault="004D01E1">
      <w:pPr>
        <w:shd w:val="clear" w:color="auto" w:fill="004C6D"/>
        <w:tabs>
          <w:tab w:val="clear" w:pos="3068"/>
        </w:tabs>
        <w:ind w:left="720" w:hanging="720"/>
      </w:pPr>
    </w:p>
    <w:tbl>
      <w:tblPr>
        <w:tblW w:w="9350" w:type="dxa"/>
        <w:jc w:val="center"/>
        <w:tblCellMar>
          <w:left w:w="10" w:type="dxa"/>
          <w:right w:w="10" w:type="dxa"/>
        </w:tblCellMar>
        <w:tblLook w:val="0000" w:firstRow="0" w:lastRow="0" w:firstColumn="0" w:lastColumn="0" w:noHBand="0" w:noVBand="0"/>
      </w:tblPr>
      <w:tblGrid>
        <w:gridCol w:w="9350"/>
      </w:tblGrid>
      <w:tr w:rsidR="004D01E1" w14:paraId="3B518F1A" w14:textId="77777777">
        <w:tblPrEx>
          <w:tblCellMar>
            <w:top w:w="0" w:type="dxa"/>
            <w:bottom w:w="0" w:type="dxa"/>
          </w:tblCellMar>
        </w:tblPrEx>
        <w:trP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7D776" w14:textId="77777777" w:rsidR="004D01E1" w:rsidRDefault="00CB6E26">
            <w:pPr>
              <w:tabs>
                <w:tab w:val="clear" w:pos="3068"/>
              </w:tabs>
              <w:spacing w:line="240" w:lineRule="auto"/>
              <w:ind w:firstLine="0"/>
              <w:jc w:val="both"/>
            </w:pPr>
            <w:r>
              <w:rPr>
                <w:rFonts w:ascii="Times New Roman" w:hAnsi="Times New Roman" w:cs="Times New Roman"/>
                <w:b/>
                <w:noProof/>
                <w:color w:val="auto"/>
                <w:sz w:val="20"/>
                <w:szCs w:val="20"/>
              </w:rPr>
              <w:drawing>
                <wp:anchor distT="0" distB="0" distL="114300" distR="114300" simplePos="0" relativeHeight="251658240" behindDoc="0" locked="0" layoutInCell="1" allowOverlap="1" wp14:anchorId="3055904D" wp14:editId="5D8DAA72">
                  <wp:simplePos x="0" y="0"/>
                  <wp:positionH relativeFrom="column">
                    <wp:posOffset>63495</wp:posOffset>
                  </wp:positionH>
                  <wp:positionV relativeFrom="paragraph">
                    <wp:posOffset>0</wp:posOffset>
                  </wp:positionV>
                  <wp:extent cx="761996" cy="289563"/>
                  <wp:effectExtent l="0" t="0" r="4" b="0"/>
                  <wp:wrapThrough wrapText="bothSides">
                    <wp:wrapPolygon edited="0">
                      <wp:start x="0" y="0"/>
                      <wp:lineTo x="0" y="19895"/>
                      <wp:lineTo x="21078" y="19895"/>
                      <wp:lineTo x="21078" y="0"/>
                      <wp:lineTo x="0" y="0"/>
                    </wp:wrapPolygon>
                  </wp:wrapThrough>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61996" cy="289563"/>
                          </a:xfrm>
                          <a:prstGeom prst="rect">
                            <a:avLst/>
                          </a:prstGeom>
                          <a:noFill/>
                          <a:ln>
                            <a:noFill/>
                            <a:prstDash/>
                          </a:ln>
                        </pic:spPr>
                      </pic:pic>
                    </a:graphicData>
                  </a:graphic>
                </wp:anchor>
              </w:drawing>
            </w:r>
            <w:r>
              <w:rPr>
                <w:rFonts w:ascii="Times New Roman" w:hAnsi="Times New Roman" w:cs="Times New Roman"/>
                <w:b/>
                <w:color w:val="auto"/>
                <w:sz w:val="20"/>
                <w:szCs w:val="20"/>
              </w:rPr>
              <w:t>This work is open access and licensed under Creative Commons Attribution International License (CC BY 4.0). Author(s) and SUJEITI Journal permit unrestricted use, and distribution, in any medium, provid</w:t>
            </w:r>
            <w:r>
              <w:rPr>
                <w:rFonts w:ascii="Times New Roman" w:hAnsi="Times New Roman" w:cs="Times New Roman"/>
                <w:b/>
                <w:color w:val="auto"/>
                <w:sz w:val="20"/>
                <w:szCs w:val="20"/>
              </w:rPr>
              <w:t>ed the original work with proper citation.</w:t>
            </w:r>
          </w:p>
        </w:tc>
      </w:tr>
    </w:tbl>
    <w:p w14:paraId="42EBABFE" w14:textId="77777777" w:rsidR="004D01E1" w:rsidRDefault="004D01E1">
      <w:pPr>
        <w:tabs>
          <w:tab w:val="clear" w:pos="3068"/>
        </w:tabs>
        <w:ind w:left="720" w:hanging="720"/>
        <w:jc w:val="center"/>
        <w:rPr>
          <w:rFonts w:ascii="Times New Roman" w:hAnsi="Times New Roman" w:cs="Times New Roman"/>
          <w:b/>
          <w:color w:val="auto"/>
          <w:sz w:val="16"/>
          <w:szCs w:val="16"/>
        </w:rPr>
      </w:pPr>
    </w:p>
    <w:p w14:paraId="6631F70E" w14:textId="77777777" w:rsidR="004D01E1" w:rsidRDefault="004D01E1">
      <w:pPr>
        <w:tabs>
          <w:tab w:val="clear" w:pos="3068"/>
        </w:tabs>
        <w:ind w:firstLine="0"/>
        <w:rPr>
          <w:rFonts w:ascii="Times New Roman" w:hAnsi="Times New Roman" w:cs="Times New Roman"/>
          <w:b/>
          <w:color w:val="auto"/>
          <w:sz w:val="16"/>
          <w:szCs w:val="16"/>
        </w:rPr>
      </w:pPr>
    </w:p>
    <w:sectPr w:rsidR="004D01E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876C" w14:textId="77777777" w:rsidR="00CB6E26" w:rsidRDefault="00CB6E26">
      <w:pPr>
        <w:spacing w:line="240" w:lineRule="auto"/>
      </w:pPr>
      <w:r>
        <w:separator/>
      </w:r>
    </w:p>
  </w:endnote>
  <w:endnote w:type="continuationSeparator" w:id="0">
    <w:p w14:paraId="0029AD3B" w14:textId="77777777" w:rsidR="00CB6E26" w:rsidRDefault="00CB6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TT5843c571">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3A52" w14:textId="77777777" w:rsidR="00CE6813" w:rsidRDefault="00CB6E26">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8A29" w14:textId="77777777" w:rsidR="00CE6813" w:rsidRDefault="00CB6E26">
    <w:pPr>
      <w:pStyle w:val="ListParagraph"/>
      <w:tabs>
        <w:tab w:val="clear" w:pos="3068"/>
        <w:tab w:val="left" w:pos="0"/>
      </w:tabs>
      <w:spacing w:after="120" w:line="240" w:lineRule="auto"/>
      <w:ind w:left="360" w:firstLine="0"/>
      <w:jc w:val="both"/>
      <w:rPr>
        <w:rFonts w:ascii="Times New Roman" w:hAnsi="Times New Roman" w:cs="Times New Roman"/>
        <w:color w:val="222222"/>
        <w:sz w:val="18"/>
        <w:szCs w:val="18"/>
      </w:rPr>
    </w:pPr>
  </w:p>
  <w:p w14:paraId="1C11FA00" w14:textId="77777777" w:rsidR="00CE6813" w:rsidRDefault="00CB6E26">
    <w:pPr>
      <w:shd w:val="clear" w:color="auto" w:fill="004C6D"/>
      <w:tabs>
        <w:tab w:val="clear" w:pos="3068"/>
      </w:tabs>
      <w:ind w:left="720" w:hanging="720"/>
    </w:pPr>
  </w:p>
  <w:p w14:paraId="78B080D4" w14:textId="77777777" w:rsidR="00CE6813" w:rsidRDefault="00CB6E26">
    <w:pPr>
      <w:pStyle w:val="Footer"/>
      <w:ind w:firstLine="0"/>
    </w:pPr>
    <w:r>
      <w:rPr>
        <w:noProof/>
      </w:rPr>
      <w:drawing>
        <wp:anchor distT="0" distB="0" distL="114300" distR="114300" simplePos="0" relativeHeight="251659264" behindDoc="0" locked="0" layoutInCell="1" allowOverlap="1" wp14:anchorId="08F9BA6A" wp14:editId="6F71346B">
          <wp:simplePos x="0" y="0"/>
          <wp:positionH relativeFrom="margin">
            <wp:align>right</wp:align>
          </wp:positionH>
          <wp:positionV relativeFrom="paragraph">
            <wp:posOffset>29205</wp:posOffset>
          </wp:positionV>
          <wp:extent cx="5943600" cy="464186"/>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464186"/>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1D3A" w14:textId="77777777" w:rsidR="00CB6E26" w:rsidRDefault="00CB6E26">
      <w:pPr>
        <w:spacing w:line="240" w:lineRule="auto"/>
      </w:pPr>
      <w:r>
        <w:separator/>
      </w:r>
    </w:p>
  </w:footnote>
  <w:footnote w:type="continuationSeparator" w:id="0">
    <w:p w14:paraId="74232C4C" w14:textId="77777777" w:rsidR="00CB6E26" w:rsidRDefault="00CB6E26">
      <w:pPr>
        <w:spacing w:line="240" w:lineRule="auto"/>
      </w:pPr>
      <w:r>
        <w:continuationSeparator/>
      </w:r>
    </w:p>
  </w:footnote>
  <w:footnote w:id="1">
    <w:p w14:paraId="64F4EAC0" w14:textId="77777777" w:rsidR="004D01E1" w:rsidRDefault="00CB6E26">
      <w:pPr>
        <w:pStyle w:val="FootnoteText"/>
        <w:jc w:val="both"/>
      </w:pPr>
      <w:r>
        <w:rPr>
          <w:rStyle w:val="FootnoteReference"/>
        </w:rPr>
        <w:footnoteRef/>
      </w:r>
      <w:r>
        <w:rPr>
          <w:rFonts w:ascii="Calibri" w:hAnsi="Calibri" w:cs="Calibri"/>
          <w:color w:val="auto"/>
        </w:rPr>
        <w:t xml:space="preserve"> </w:t>
      </w:r>
      <w:r>
        <w:rPr>
          <w:rFonts w:ascii="Times New Roman" w:hAnsi="Times New Roman" w:cs="Times New Roman"/>
          <w:color w:val="auto"/>
        </w:rPr>
        <w:t>A Greenhouse–</w:t>
      </w:r>
      <w:proofErr w:type="spellStart"/>
      <w:r>
        <w:rPr>
          <w:rFonts w:ascii="Times New Roman" w:hAnsi="Times New Roman" w:cs="Times New Roman"/>
          <w:color w:val="auto"/>
        </w:rPr>
        <w:t>Geisser</w:t>
      </w:r>
      <w:proofErr w:type="spellEnd"/>
      <w:r>
        <w:rPr>
          <w:rFonts w:ascii="Times New Roman" w:hAnsi="Times New Roman" w:cs="Times New Roman"/>
          <w:color w:val="auto"/>
        </w:rPr>
        <w:t xml:space="preserve"> adjustment of the degrees of freedom</w:t>
      </w:r>
      <w:r>
        <w:rPr>
          <w:rFonts w:ascii="Times New Roman" w:hAnsi="Times New Roman" w:cs="Times New Roman"/>
          <w:color w:val="auto"/>
        </w:rPr>
        <w:t xml:space="preserve"> was performed in anticipation of a sphericity assumption violation.</w:t>
      </w:r>
    </w:p>
  </w:footnote>
  <w:footnote w:id="2">
    <w:p w14:paraId="22DEA796" w14:textId="77777777" w:rsidR="004D01E1" w:rsidRDefault="00CB6E26">
      <w:pPr>
        <w:pStyle w:val="FootnoteText"/>
        <w:jc w:val="both"/>
      </w:pPr>
      <w:r>
        <w:rPr>
          <w:rStyle w:val="FootnoteReference"/>
        </w:rPr>
        <w:footnoteRef/>
      </w:r>
      <w:r>
        <w:rPr>
          <w:rFonts w:ascii="Times New Roman" w:hAnsi="Times New Roman" w:cs="Times New Roman"/>
          <w:color w:val="auto"/>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E0D0" w14:textId="77777777" w:rsidR="00CE6813" w:rsidRDefault="00CB6E26">
    <w:pPr>
      <w:pStyle w:val="Header"/>
      <w:ind w:firstLine="0"/>
      <w:jc w:val="both"/>
    </w:pPr>
    <w:r>
      <w:rPr>
        <w:rFonts w:ascii="Times New Roman" w:hAnsi="Times New Roman" w:cs="Times New Roman"/>
        <w:sz w:val="32"/>
        <w:szCs w:val="32"/>
      </w:rPr>
      <w:tab/>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w:instrText>
    </w:r>
    <w:r>
      <w:rPr>
        <w:rFonts w:ascii="Times New Roman" w:hAnsi="Times New Roman" w:cs="Times New Roman"/>
        <w:sz w:val="32"/>
        <w:szCs w:val="32"/>
      </w:rPr>
      <w:fldChar w:fldCharType="separate"/>
    </w:r>
    <w:r>
      <w:rPr>
        <w:rFonts w:ascii="Times New Roman" w:hAnsi="Times New Roman" w:cs="Times New Roman"/>
        <w:sz w:val="32"/>
        <w:szCs w:val="32"/>
      </w:rPr>
      <w:t>2</w:t>
    </w:r>
    <w:r>
      <w:rPr>
        <w:rFonts w:ascii="Times New Roman" w:hAnsi="Times New Roman" w:cs="Times New Roman"/>
        <w:sz w:val="32"/>
        <w:szCs w:val="32"/>
      </w:rPr>
      <w:fldChar w:fldCharType="end"/>
    </w:r>
  </w:p>
  <w:p w14:paraId="10507DAE" w14:textId="77777777" w:rsidR="00CE6813" w:rsidRDefault="00CB6E26">
    <w:pPr>
      <w:pStyle w:val="Header"/>
      <w:rPr>
        <w:rFonts w:ascii="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FC37" w14:textId="77777777" w:rsidR="00CE6813" w:rsidRDefault="00CB6E26">
    <w:pPr>
      <w:spacing w:line="240" w:lineRule="auto"/>
      <w:jc w:val="center"/>
      <w:rPr>
        <w:rFonts w:ascii="Times New Roman" w:hAnsi="Times New Roman" w:cs="Times New Roman"/>
        <w:b/>
        <w:bCs/>
        <w:color w:val="004C6D"/>
        <w:sz w:val="32"/>
        <w:szCs w:val="32"/>
      </w:rPr>
    </w:pPr>
    <w:r>
      <w:rPr>
        <w:rFonts w:ascii="Times New Roman" w:hAnsi="Times New Roman" w:cs="Times New Roman"/>
        <w:b/>
        <w:bCs/>
        <w:color w:val="004C6D"/>
        <w:sz w:val="32"/>
        <w:szCs w:val="32"/>
      </w:rPr>
      <w:t>Sohar University Journal of Engineering and Information Technology Innovations (SU</w:t>
    </w:r>
    <w:r>
      <w:rPr>
        <w:rFonts w:ascii="Times New Roman" w:hAnsi="Times New Roman" w:cs="Times New Roman"/>
        <w:b/>
        <w:bCs/>
        <w:color w:val="004C6D"/>
        <w:sz w:val="32"/>
        <w:szCs w:val="32"/>
      </w:rPr>
      <w:t xml:space="preserve">JEITI), ISSN: 3078-7513  </w:t>
    </w:r>
  </w:p>
  <w:p w14:paraId="24F690F1" w14:textId="77777777" w:rsidR="00CE6813" w:rsidRDefault="00CB6E26">
    <w:pPr>
      <w:spacing w:line="240" w:lineRule="auto"/>
      <w:jc w:val="center"/>
      <w:rPr>
        <w:rFonts w:ascii="Times New Roman" w:hAnsi="Times New Roman" w:cs="Times New Roman"/>
        <w:b/>
        <w:bCs/>
        <w:color w:val="004C6D"/>
        <w:sz w:val="24"/>
        <w:szCs w:val="24"/>
      </w:rPr>
    </w:pPr>
    <w:r>
      <w:rPr>
        <w:rFonts w:ascii="Times New Roman" w:hAnsi="Times New Roman" w:cs="Times New Roman"/>
        <w:b/>
        <w:bCs/>
        <w:color w:val="004C6D"/>
        <w:sz w:val="24"/>
        <w:szCs w:val="24"/>
      </w:rPr>
      <w:t xml:space="preserve">Volume 1, Issue 1, pp xx-xx, July 2024, DOI: </w:t>
    </w:r>
    <w:proofErr w:type="spellStart"/>
    <w:r>
      <w:rPr>
        <w:rFonts w:ascii="Times New Roman" w:hAnsi="Times New Roman" w:cs="Times New Roman"/>
        <w:b/>
        <w:bCs/>
        <w:color w:val="004C6D"/>
        <w:sz w:val="24"/>
        <w:szCs w:val="24"/>
      </w:rPr>
      <w:t>xxxxxxxxxxxxxxx</w:t>
    </w:r>
    <w:proofErr w:type="spellEnd"/>
    <w:r>
      <w:rPr>
        <w:rFonts w:ascii="Times New Roman" w:hAnsi="Times New Roman" w:cs="Times New Roman"/>
        <w:b/>
        <w:bCs/>
        <w:color w:val="004C6D"/>
        <w:sz w:val="24"/>
        <w:szCs w:val="24"/>
      </w:rPr>
      <w:t xml:space="preserve"> </w:t>
    </w:r>
  </w:p>
  <w:p w14:paraId="2223218E" w14:textId="77777777" w:rsidR="00CE6813" w:rsidRDefault="00CB6E26">
    <w:pPr>
      <w:spacing w:line="240" w:lineRule="auto"/>
      <w:jc w:val="center"/>
      <w:rPr>
        <w:rFonts w:ascii="Times New Roman" w:hAnsi="Times New Roman" w:cs="Times New Roman"/>
        <w:b/>
        <w:bCs/>
        <w:color w:val="004C6D"/>
        <w:sz w:val="24"/>
        <w:szCs w:val="24"/>
      </w:rPr>
    </w:pPr>
    <w:r>
      <w:rPr>
        <w:rFonts w:ascii="Times New Roman" w:hAnsi="Times New Roman" w:cs="Times New Roman"/>
        <w:b/>
        <w:bCs/>
        <w:color w:val="004C6D"/>
        <w:sz w:val="24"/>
        <w:szCs w:val="24"/>
      </w:rPr>
      <w:t>Received: xx/5/2024     Revised: xx/5/2024    Accepted: xx/01/2025</w:t>
    </w:r>
  </w:p>
  <w:p w14:paraId="38CAFA4F" w14:textId="77777777" w:rsidR="00CE6813" w:rsidRDefault="00CB6E26">
    <w:pPr>
      <w:shd w:val="clear" w:color="auto" w:fill="004C6D"/>
      <w:tabs>
        <w:tab w:val="clear" w:pos="3068"/>
      </w:tabs>
      <w:spacing w:line="240" w:lineRule="auto"/>
      <w:ind w:firstLine="0"/>
      <w:rPr>
        <w:rFonts w:ascii="Times New Roman" w:hAnsi="Times New Roman" w:cs="Times New Roman"/>
        <w:color w:val="2E74B5"/>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C5E00"/>
    <w:multiLevelType w:val="multilevel"/>
    <w:tmpl w:val="BB9499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1EF3C2B"/>
    <w:multiLevelType w:val="multilevel"/>
    <w:tmpl w:val="1F0EA9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D01E1"/>
    <w:rsid w:val="004D01E1"/>
    <w:rsid w:val="00AC60DF"/>
    <w:rsid w:val="00CB6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6BC5"/>
  <w15:docId w15:val="{2E413906-57AC-441B-AB0C-A930EE06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068"/>
      </w:tabs>
      <w:suppressAutoHyphens/>
      <w:spacing w:after="0" w:line="480" w:lineRule="auto"/>
      <w:ind w:firstLine="720"/>
    </w:pPr>
    <w:rPr>
      <w:rFonts w:ascii="Arial" w:hAnsi="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customStyle="1" w:styleId="o00408">
    <w:name w:val="o00408"/>
    <w:basedOn w:val="DefaultParagraphFont"/>
  </w:style>
  <w:style w:type="character" w:customStyle="1" w:styleId="s01997">
    <w:name w:val="s01997"/>
    <w:basedOn w:val="DefaultParagraphFont"/>
  </w:style>
  <w:style w:type="character" w:customStyle="1" w:styleId="first-table-reference">
    <w:name w:val="first-table-reference"/>
    <w:basedOn w:val="DefaultParagraphFont"/>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FootnoteText">
    <w:name w:val="footnote text"/>
    <w:basedOn w:val="Normal"/>
    <w:pPr>
      <w:spacing w:line="240" w:lineRule="auto"/>
    </w:pPr>
    <w:rPr>
      <w:sz w:val="20"/>
      <w:szCs w:val="20"/>
    </w:rPr>
  </w:style>
  <w:style w:type="character" w:customStyle="1" w:styleId="FootnoteTextChar">
    <w:name w:val="Footnote Text Char"/>
    <w:basedOn w:val="DefaultParagraphFont"/>
    <w:rPr>
      <w:rFonts w:ascii="Arial" w:hAnsi="Arial" w:cs="Arial"/>
      <w:color w:val="333333"/>
      <w:sz w:val="20"/>
      <w:szCs w:val="20"/>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tabs>
        <w:tab w:val="clear" w:pos="3068"/>
      </w:tabs>
      <w:spacing w:line="240" w:lineRule="auto"/>
      <w:ind w:firstLine="0"/>
    </w:pPr>
    <w:rPr>
      <w:sz w:val="20"/>
      <w:szCs w:val="20"/>
    </w:rPr>
  </w:style>
  <w:style w:type="character" w:customStyle="1" w:styleId="CommentTextChar">
    <w:name w:val="Comment Text Char"/>
    <w:basedOn w:val="DefaultParagraphFont"/>
    <w:rPr>
      <w:rFonts w:ascii="Arial" w:hAnsi="Arial" w:cs="Arial"/>
      <w:color w:val="333333"/>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color w:val="333333"/>
      <w:sz w:val="20"/>
      <w:szCs w:val="20"/>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333333"/>
      <w:sz w:val="18"/>
      <w:szCs w:val="18"/>
    </w:rPr>
  </w:style>
  <w:style w:type="character" w:styleId="FollowedHyperlink">
    <w:name w:val="FollowedHyperlink"/>
    <w:basedOn w:val="DefaultParagraphFont"/>
    <w:rPr>
      <w:color w:val="954F72"/>
      <w:u w:val="single"/>
    </w:rPr>
  </w:style>
  <w:style w:type="paragraph" w:styleId="Revision">
    <w:name w:val="Revision"/>
    <w:pPr>
      <w:suppressAutoHyphens/>
      <w:spacing w:after="0" w:line="240" w:lineRule="auto"/>
    </w:pPr>
    <w:rPr>
      <w:rFonts w:ascii="Arial" w:hAnsi="Arial"/>
      <w:color w:val="333333"/>
      <w:sz w:val="21"/>
      <w:szCs w:val="21"/>
      <w:shd w:val="clear" w:color="auto" w:fill="FFFFFF"/>
    </w:rPr>
  </w:style>
  <w:style w:type="paragraph" w:styleId="NormalWeb">
    <w:name w:val="Normal (Web)"/>
    <w:basedOn w:val="Normal"/>
    <w:pPr>
      <w:tabs>
        <w:tab w:val="clear" w:pos="3068"/>
      </w:tabs>
      <w:spacing w:before="100" w:after="100" w:line="240" w:lineRule="auto"/>
      <w:ind w:firstLine="0"/>
    </w:pPr>
    <w:rPr>
      <w:rFonts w:ascii="Times New Roman" w:eastAsia="Times New Roman" w:hAnsi="Times New Roman" w:cs="Times New Roman"/>
      <w:color w:val="auto"/>
      <w:sz w:val="24"/>
      <w:szCs w:val="24"/>
      <w:shd w:val="clear" w:color="auto" w:fill="auto"/>
    </w:rPr>
  </w:style>
  <w:style w:type="paragraph" w:styleId="ListParagraph">
    <w:name w:val="List Paragraph"/>
    <w:basedOn w:val="Normal"/>
    <w:pPr>
      <w:ind w:left="720"/>
    </w:pPr>
  </w:style>
  <w:style w:type="character" w:styleId="UnresolvedMention">
    <w:name w:val="Unresolved Mention"/>
    <w:basedOn w:val="DefaultParagraphFont"/>
    <w:rPr>
      <w:color w:val="605E5C"/>
      <w:shd w:val="clear" w:color="auto" w:fill="E1DFDD"/>
    </w:rPr>
  </w:style>
  <w:style w:type="paragraph" w:styleId="BodyText">
    <w:name w:val="Body Text"/>
    <w:basedOn w:val="Normal"/>
    <w:pPr>
      <w:tabs>
        <w:tab w:val="clear" w:pos="3068"/>
        <w:tab w:val="left" w:pos="288"/>
      </w:tabs>
      <w:spacing w:after="120" w:line="228" w:lineRule="auto"/>
      <w:ind w:firstLine="288"/>
      <w:jc w:val="both"/>
    </w:pPr>
    <w:rPr>
      <w:rFonts w:ascii="Times New Roman" w:eastAsia="MS Mincho" w:hAnsi="Times New Roman" w:cs="Times New Roman"/>
      <w:color w:val="auto"/>
      <w:spacing w:val="-1"/>
      <w:sz w:val="22"/>
      <w:szCs w:val="20"/>
      <w:shd w:val="clear" w:color="auto" w:fill="auto"/>
    </w:rPr>
  </w:style>
  <w:style w:type="character" w:customStyle="1" w:styleId="BodyTextChar">
    <w:name w:val="Body Text Char"/>
    <w:basedOn w:val="DefaultParagraphFont"/>
    <w:rPr>
      <w:rFonts w:ascii="Times New Roman" w:eastAsia="MS Mincho" w:hAnsi="Times New Roman" w:cs="Times New Roman"/>
      <w:spacing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yousuf@s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bahri@su.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bahri@su.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1811</Words>
  <Characters>10326</Characters>
  <Application>Microsoft Office Word</Application>
  <DocSecurity>0</DocSecurity>
  <Lines>86</Lines>
  <Paragraphs>24</Paragraphs>
  <ScaleCrop>false</ScaleCrop>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 you</dc:creator>
  <dc:description/>
  <cp:lastModifiedBy>Maimouna Ali Khamis Al Mazroouai</cp:lastModifiedBy>
  <cp:revision>2</cp:revision>
  <dcterms:created xsi:type="dcterms:W3CDTF">2026-04-29T04:58:00Z</dcterms:created>
  <dcterms:modified xsi:type="dcterms:W3CDTF">2026-04-29T04:58:00Z</dcterms:modified>
</cp:coreProperties>
</file>